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2"/>
      </w:pPr>
      <w:bookmarkStart w:id="20" w:name="X59a97d26159cbfe0dcca0d3af4bae4df48e8d83"/>
      <w:r>
        <w:t xml:space="preserve">Analysis of Opportunity and Impact: High Recurring Commission AI Affiliate Programs</w:t>
      </w:r>
      <w:bookmarkEnd w:id="20"/>
    </w:p>
    <w:p>
      <w:pPr>
        <w:pStyle w:val="FirstParagraph"/>
      </w:pPr>
      <w:r>
        <w:t xml:space="preserve">This analysis evaluates the potential impact of focusing on high recurring commission AI affiliate programs (like HubSpot, AdCreative.ai, Engage AI, AISEO, DeepBrain AI, offering ~30-40% recurring) on the</w:t>
      </w:r>
      <w:r>
        <w:t xml:space="preserve"> </w:t>
      </w:r>
      <w:r>
        <w:rPr>
          <w:rStyle w:val="VerbatimChar"/>
        </w:rPr>
        <w:t xml:space="preserve">aitoolfrontier.com</w:t>
      </w:r>
      <w:r>
        <w:t xml:space="preserve"> </w:t>
      </w:r>
      <w:r>
        <w:t xml:space="preserve">agentic affiliate business model.</w:t>
      </w:r>
    </w:p>
    <w:p>
      <w:pPr>
        <w:pStyle w:val="BodyText"/>
      </w:pPr>
      <w:r>
        <w:rPr>
          <w:b/>
        </w:rPr>
        <w:t xml:space="preserve">1. Increased Revenue Potential:</w:t>
      </w:r>
    </w:p>
    <w:p>
      <w:pPr>
        <w:numPr>
          <w:ilvl w:val="0"/>
          <w:numId w:val="1001"/>
        </w:numPr>
        <w:pStyle w:val="Compact"/>
      </w:pPr>
      <w:r>
        <w:rPr>
          <w:b/>
        </w:rPr>
        <w:t xml:space="preserve">Significant Upside:</w:t>
      </w:r>
      <w:r>
        <w:t xml:space="preserve"> </w:t>
      </w:r>
      <w:r>
        <w:t xml:space="preserve">Shifting the focus from a conservative blended commission rate (used in earlier projections) to specifically targeting programs with 30-40% recurring commissions dramatically increases the potential Monthly Recurring Revenue (MRR) and overall profitability per referred customer. For the same number of successful referrals, the revenue generated could be 1.5x to 2x higher compared to models relying on lower (e.g., 20%) or non-recurring commissions.</w:t>
      </w:r>
    </w:p>
    <w:p>
      <w:pPr>
        <w:numPr>
          <w:ilvl w:val="0"/>
          <w:numId w:val="1001"/>
        </w:numPr>
        <w:pStyle w:val="Compact"/>
      </w:pPr>
      <w:r>
        <w:rPr>
          <w:b/>
        </w:rPr>
        <w:t xml:space="preserve">Faster Scaling:</w:t>
      </w:r>
      <w:r>
        <w:t xml:space="preserve"> </w:t>
      </w:r>
      <w:r>
        <w:t xml:space="preserve">Higher revenue per customer means profitability thresholds are reached faster, and the 50% reinvestment fund grows more quickly. This allows Manus to potentially scale content velocity (funding more API calls for AI writers) or experiment with paid traffic sooner, accelerating the path towards the user’s long-term revenue goals.</w:t>
      </w:r>
    </w:p>
    <w:p>
      <w:pPr>
        <w:numPr>
          <w:ilvl w:val="0"/>
          <w:numId w:val="1001"/>
        </w:numPr>
        <w:pStyle w:val="Compact"/>
      </w:pPr>
      <w:r>
        <w:rPr>
          <w:b/>
        </w:rPr>
        <w:t xml:space="preserve">Alignment with Passive Income:</w:t>
      </w:r>
      <w:r>
        <w:t xml:space="preserve"> </w:t>
      </w:r>
      <w:r>
        <w:t xml:space="preserve">Recurring commissions directly support the goal of building sustainable, scalable passive income streams, as revenue continues long after the initial referral.</w:t>
      </w:r>
    </w:p>
    <w:p>
      <w:pPr>
        <w:pStyle w:val="FirstParagraph"/>
      </w:pPr>
      <w:r>
        <w:rPr>
          <w:b/>
        </w:rPr>
        <w:t xml:space="preserve">2. Impact on Content Strategy:</w:t>
      </w:r>
    </w:p>
    <w:p>
      <w:pPr>
        <w:numPr>
          <w:ilvl w:val="0"/>
          <w:numId w:val="1002"/>
        </w:numPr>
        <w:pStyle w:val="Compact"/>
      </w:pPr>
      <w:r>
        <w:rPr>
          <w:b/>
        </w:rPr>
        <w:t xml:space="preserve">Targeted Content:</w:t>
      </w:r>
      <w:r>
        <w:t xml:space="preserve"> </w:t>
      </w:r>
      <w:r>
        <w:t xml:space="preserve">The content strategy for</w:t>
      </w:r>
      <w:r>
        <w:t xml:space="preserve"> </w:t>
      </w:r>
      <w:r>
        <w:rPr>
          <w:rStyle w:val="VerbatimChar"/>
        </w:rPr>
        <w:t xml:space="preserve">aitoolfrontier.com</w:t>
      </w:r>
      <w:r>
        <w:t xml:space="preserve"> </w:t>
      </w:r>
      <w:r>
        <w:t xml:space="preserve">must prioritize creating high-quality, in-depth content specifically targeting keywords related to these high-value programs. This includes reviews, comparisons, tutorials, use-case studies, and potentially landing pages focused on platforms like HubSpot, AdCreative.ai, Engage AI, etc.</w:t>
      </w:r>
    </w:p>
    <w:p>
      <w:pPr>
        <w:numPr>
          <w:ilvl w:val="0"/>
          <w:numId w:val="1002"/>
        </w:numPr>
        <w:pStyle w:val="Compact"/>
      </w:pPr>
      <w:r>
        <w:rPr>
          <w:b/>
        </w:rPr>
        <w:t xml:space="preserve">Quality &amp; Authority:</w:t>
      </w:r>
      <w:r>
        <w:t xml:space="preserve"> </w:t>
      </w:r>
      <w:r>
        <w:t xml:space="preserve">Given that higher payouts attract more competition, the content generated by Manus needs to be authoritative, accurate, and genuinely helpful to rank well in search engines and convert readers. This emphasizes the importance of using capable AI writing models and potentially incorporating structured data/SEO best practices.</w:t>
      </w:r>
    </w:p>
    <w:p>
      <w:pPr>
        <w:numPr>
          <w:ilvl w:val="0"/>
          <w:numId w:val="1002"/>
        </w:numPr>
        <w:pStyle w:val="Compact"/>
      </w:pPr>
      <w:r>
        <w:rPr>
          <w:b/>
        </w:rPr>
        <w:t xml:space="preserve">Niche Focus:</w:t>
      </w:r>
      <w:r>
        <w:t xml:space="preserve"> </w:t>
      </w:r>
      <w:r>
        <w:t xml:space="preserve">While the programs cover various AI applications (marketing, content creation, productivity), the initial content focus could be narrowed to the specific niches these tools serve to build topical authority.</w:t>
      </w:r>
    </w:p>
    <w:p>
      <w:pPr>
        <w:pStyle w:val="FirstParagraph"/>
      </w:pPr>
      <w:r>
        <w:rPr>
          <w:b/>
        </w:rPr>
        <w:t xml:space="preserve">3. Operational Considerations:</w:t>
      </w:r>
    </w:p>
    <w:p>
      <w:pPr>
        <w:numPr>
          <w:ilvl w:val="0"/>
          <w:numId w:val="1003"/>
        </w:numPr>
        <w:pStyle w:val="Compact"/>
      </w:pPr>
      <w:r>
        <w:rPr>
          <w:b/>
        </w:rPr>
        <w:t xml:space="preserve">Agent Orchestration:</w:t>
      </w:r>
      <w:r>
        <w:t xml:space="preserve"> </w:t>
      </w:r>
      <w:r>
        <w:t xml:space="preserve">The core agentic workflow (research -&gt; content -&gt; publish -&gt; monitor) orchestrated by Manus remains the same. The primary change is directing the research and content generation phases towards these specific high-value affiliate targets.</w:t>
      </w:r>
    </w:p>
    <w:p>
      <w:pPr>
        <w:numPr>
          <w:ilvl w:val="0"/>
          <w:numId w:val="1003"/>
        </w:numPr>
        <w:pStyle w:val="Compact"/>
      </w:pPr>
      <w:r>
        <w:rPr>
          <w:b/>
        </w:rPr>
        <w:t xml:space="preserve">Monitoring &amp; Optimization:</w:t>
      </w:r>
      <w:r>
        <w:t xml:space="preserve"> </w:t>
      </w:r>
      <w:r>
        <w:t xml:space="preserve">Manus will need to track performance (clicks, conversions) for these specific affiliate links to identify which programs/content pieces are performing best, allowing for continuous optimization of the strategy.</w:t>
      </w:r>
    </w:p>
    <w:p>
      <w:pPr>
        <w:numPr>
          <w:ilvl w:val="0"/>
          <w:numId w:val="1003"/>
        </w:numPr>
        <w:pStyle w:val="Compact"/>
      </w:pPr>
      <w:r>
        <w:rPr>
          <w:b/>
        </w:rPr>
        <w:t xml:space="preserve">Verification:</w:t>
      </w:r>
      <w:r>
        <w:t xml:space="preserve"> </w:t>
      </w:r>
      <w:r>
        <w:t xml:space="preserve">Due to reliance on snippets, verifying the exact terms (commission rate, duration, cookie life, payout thresholds) directly on the affiliate program websites is a critical first step before committing significant content resources.</w:t>
      </w:r>
    </w:p>
    <w:p>
      <w:pPr>
        <w:pStyle w:val="FirstParagraph"/>
      </w:pPr>
      <w:r>
        <w:rPr>
          <w:b/>
        </w:rPr>
        <w:t xml:space="preserve">Conclusion:</w:t>
      </w:r>
    </w:p>
    <w:p>
      <w:pPr>
        <w:pStyle w:val="BodyText"/>
      </w:pPr>
      <w:r>
        <w:t xml:space="preserve">Focusing on high recurring commission AI affiliate programs presents a significant opportunity to enhance the revenue potential and accelerate the scaling of the</w:t>
      </w:r>
      <w:r>
        <w:t xml:space="preserve"> </w:t>
      </w:r>
      <w:r>
        <w:rPr>
          <w:rStyle w:val="VerbatimChar"/>
        </w:rPr>
        <w:t xml:space="preserve">aitoolfrontier.com</w:t>
      </w:r>
      <w:r>
        <w:t xml:space="preserve"> </w:t>
      </w:r>
      <w:r>
        <w:t xml:space="preserve">business. It strongly aligns with the user’s goals for automation and passive income. While it requires a targeted content strategy and potentially faces higher competition, the potential rewards justify prioritizing these programs within the agentic model. The next step involves validating the commission data and updating the financial projections accordingly.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2025-05-04T05:27:12Z</dcterms:created>
  <dcterms:modified xsi:type="dcterms:W3CDTF">2025-05-04T05:27:12Z</dcterms:modified>
</cp:coreProperties>
</file>

<file path=docProps/custom.xml><?xml version="1.0" encoding="utf-8"?>
<Properties xmlns="http://schemas.openxmlformats.org/officeDocument/2006/custom-properties" xmlns:vt="http://schemas.openxmlformats.org/officeDocument/2006/docPropsVTypes"/>
</file>