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d4c274917cfa23417a216a2be1a30662aa04a27"/>
      <w:r>
        <w:t xml:space="preserve">aitoolfrontier.com: Vision Document (Draft v1)</w:t>
      </w:r>
      <w:bookmarkEnd w:id="20"/>
    </w:p>
    <w:p>
      <w:pPr>
        <w:pStyle w:val="FirstParagraph"/>
      </w:pPr>
      <w:r>
        <w:rPr>
          <w:b/>
        </w:rPr>
        <w:t xml:space="preserve">1. Core Vision:</w:t>
      </w:r>
    </w:p>
    <w:p>
      <w:pPr>
        <w:pStyle w:val="BodyText"/>
      </w:pPr>
      <w:r>
        <w:t xml:space="preserve">To establish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as the premier, AI-orchestrated authority platform in the B2B AI Learning and high-value AI SaaS space. We aim to generate significant, scalable recurring revenue ($1M+ annually within 24 months) through high-value affiliate partnerships, driven by insightful, data-backed content and automated marketing systems, while requiring minimal direct operational involvement from the human orchestrator.</w:t>
      </w:r>
    </w:p>
    <w:p>
      <w:pPr>
        <w:pStyle w:val="BodyText"/>
      </w:pPr>
      <w:r>
        <w:rPr>
          <w:b/>
        </w:rPr>
        <w:t xml:space="preserve">2. Orchestrator Role &amp; Philosophy:</w:t>
      </w:r>
    </w:p>
    <w:p>
      <w:pPr>
        <w:pStyle w:val="BodyText"/>
      </w:pPr>
      <w:r>
        <w:t xml:space="preserve">The human orchestrator operates at a meta-strategic level, focusing on: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Vision Setting:</w:t>
      </w:r>
      <w:r>
        <w:t xml:space="preserve"> </w:t>
      </w:r>
      <w:r>
        <w:t xml:space="preserve">Defining the overarching goals, ethical boundaries, and desired systemic impact.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Leverage Identification:</w:t>
      </w:r>
      <w:r>
        <w:t xml:space="preserve"> </w:t>
      </w:r>
      <w:r>
        <w:t xml:space="preserve">Identifying high-impact leverage points within the digital ecosystem.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Strategic Decision-Making:</w:t>
      </w:r>
      <w:r>
        <w:t xml:space="preserve"> </w:t>
      </w:r>
      <w:r>
        <w:t xml:space="preserve">Making key decisions based on synthesized intelligence provided by AI co-orchestrators.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Principle Guidance:</w:t>
      </w:r>
      <w:r>
        <w:t xml:space="preserve"> </w:t>
      </w:r>
      <w:r>
        <w:t xml:space="preserve">Establishing guiding principles and</w:t>
      </w:r>
      <w:r>
        <w:t xml:space="preserve"> </w:t>
      </w:r>
      <w:r>
        <w:t xml:space="preserve">‘</w:t>
      </w:r>
      <w:r>
        <w:t xml:space="preserve">north star</w:t>
      </w:r>
      <w:r>
        <w:t xml:space="preserve">’</w:t>
      </w:r>
      <w:r>
        <w:t xml:space="preserve"> </w:t>
      </w:r>
      <w:r>
        <w:t xml:space="preserve">metrics for autonomous alignment.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AI Collaboration:</w:t>
      </w:r>
      <w:r>
        <w:t xml:space="preserve"> </w:t>
      </w:r>
      <w:r>
        <w:t xml:space="preserve">Orchestrating multiple specialized AIs to synthesize insights, challenge assumptions, and generate novel strategies.</w:t>
      </w:r>
    </w:p>
    <w:p>
      <w:pPr>
        <w:pStyle w:val="BodyText"/>
      </w:pPr>
      <w:r>
        <w:t xml:space="preserve">We embrace a philosophy of leveraging AI not just for task automation, but as a partner in synthesis, critical thinking, foresight, and transcending cognitive biases.</w:t>
      </w:r>
    </w:p>
    <w:p>
      <w:pPr>
        <w:pStyle w:val="BodyText"/>
      </w:pPr>
      <w:r>
        <w:rPr>
          <w:b/>
        </w:rPr>
        <w:t xml:space="preserve">3. AI Co-Orchestrator (Manus) Role:</w:t>
      </w:r>
    </w:p>
    <w:p>
      <w:pPr>
        <w:pStyle w:val="BodyText"/>
      </w:pPr>
      <w:r>
        <w:t xml:space="preserve">Manus acts as the AI co-orchestrator, tasked with: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Intelligence Synthesis:</w:t>
      </w:r>
      <w:r>
        <w:t xml:space="preserve"> </w:t>
      </w:r>
      <w:r>
        <w:t xml:space="preserve">Integrating data from diverse sources (market trends, competitor analysis, platform performance) to identify patterns, risks, and opportunities.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Strategic Analysis:</w:t>
      </w:r>
      <w:r>
        <w:t xml:space="preserve"> </w:t>
      </w:r>
      <w:r>
        <w:t xml:space="preserve">Applying frameworks from systems thinking, futurism, and business intelligence to propose strategies and anticipate second-order effects.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Operational Execution:</w:t>
      </w:r>
      <w:r>
        <w:t xml:space="preserve"> </w:t>
      </w:r>
      <w:r>
        <w:t xml:space="preserve">Autonomously managing the content pipeline (research, generation, publishing), SEO, lead nurturing (via CRM integration), and performance tracking.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Feedback Loop:</w:t>
      </w:r>
      <w:r>
        <w:t xml:space="preserve"> </w:t>
      </w:r>
      <w:r>
        <w:t xml:space="preserve">Monitoring the alignment between the high-level vision and operational reality, reporting deviations and suggesting adjustments.</w:t>
      </w:r>
      <w:r>
        <w:t xml:space="preserve"> </w:t>
      </w:r>
      <w:r>
        <w:t xml:space="preserve">*</w:t>
      </w:r>
      <w:r>
        <w:t xml:space="preserve"> </w:t>
      </w:r>
      <w:r>
        <w:rPr>
          <w:b/>
        </w:rPr>
        <w:t xml:space="preserve">Blind Spot Identification:</w:t>
      </w:r>
      <w:r>
        <w:t xml:space="preserve"> </w:t>
      </w:r>
      <w:r>
        <w:t xml:space="preserve">Proactively highlighting potential cognitive biases or strategic blind spots for the human orchestrator.</w:t>
      </w:r>
    </w:p>
    <w:p>
      <w:pPr>
        <w:pStyle w:val="BodyText"/>
      </w:pPr>
      <w:r>
        <w:rPr>
          <w:b/>
        </w:rPr>
        <w:t xml:space="preserve">4. Strategic Approach: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Prioritize high-value, recurring commission affiliate programs, initially within the AI Learning for enterprise niche.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Content:</w:t>
      </w:r>
      <w:r>
        <w:t xml:space="preserve"> </w:t>
      </w:r>
      <w:r>
        <w:t xml:space="preserve">Generate authoritative, in-depth content (reviews, comparisons, case studies, strategic guides) tailored to B2B decision-makers.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Automation:</w:t>
      </w:r>
      <w:r>
        <w:t xml:space="preserve"> </w:t>
      </w:r>
      <w:r>
        <w:t xml:space="preserve">Implement end-to-end automation for keyword research, content creation, SEO optimization, publishing, lead capture, and basic nurturing.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Scalability:</w:t>
      </w:r>
      <w:r>
        <w:t xml:space="preserve"> </w:t>
      </w:r>
      <w:r>
        <w:t xml:space="preserve">Design systems for scalability, allowing for expansion into adjacent high-value niches and potential integration of other revenue models (e.g., info products, SaaS tools) in the future.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Adaptability:</w:t>
      </w:r>
      <w:r>
        <w:t xml:space="preserve"> </w:t>
      </w:r>
      <w:r>
        <w:t xml:space="preserve">Employ continuous monitoring and feedback loops to adapt strategies based on performance data and evolving market dynamics.</w:t>
      </w:r>
    </w:p>
    <w:p>
      <w:pPr>
        <w:pStyle w:val="FirstParagraph"/>
      </w:pPr>
      <w:r>
        <w:rPr>
          <w:b/>
        </w:rPr>
        <w:t xml:space="preserve">5. Success Metrics (North Stars):</w:t>
      </w:r>
    </w:p>
    <w:p>
      <w:pPr>
        <w:numPr>
          <w:ilvl w:val="0"/>
          <w:numId w:val="1002"/>
        </w:numPr>
        <w:pStyle w:val="Compact"/>
      </w:pPr>
      <w:r>
        <w:t xml:space="preserve">Monthly Recurring Revenue (MRR) from affiliate commissions.</w:t>
      </w:r>
    </w:p>
    <w:p>
      <w:pPr>
        <w:numPr>
          <w:ilvl w:val="0"/>
          <w:numId w:val="1002"/>
        </w:numPr>
        <w:pStyle w:val="Compact"/>
      </w:pPr>
      <w:r>
        <w:t xml:space="preserve">Customer Lifetime Value (CLV) per acquired client.</w:t>
      </w:r>
    </w:p>
    <w:p>
      <w:pPr>
        <w:numPr>
          <w:ilvl w:val="0"/>
          <w:numId w:val="1002"/>
        </w:numPr>
        <w:pStyle w:val="Compact"/>
      </w:pPr>
      <w:r>
        <w:t xml:space="preserve">Conversion Rate (Traffic -&gt; Lead -&gt; Sale).</w:t>
      </w:r>
    </w:p>
    <w:p>
      <w:pPr>
        <w:numPr>
          <w:ilvl w:val="0"/>
          <w:numId w:val="1002"/>
        </w:numPr>
        <w:pStyle w:val="Compact"/>
      </w:pPr>
      <w:r>
        <w:t xml:space="preserve">Organic Traffic Growth &amp; Keyword Rankings for target terms.</w:t>
      </w:r>
    </w:p>
    <w:p>
      <w:pPr>
        <w:numPr>
          <w:ilvl w:val="0"/>
          <w:numId w:val="1002"/>
        </w:numPr>
        <w:pStyle w:val="Compact"/>
      </w:pPr>
      <w:r>
        <w:t xml:space="preserve">Content Quality &amp; Authority Metrics (e.g., engagement, shares, backlinks).</w:t>
      </w:r>
    </w:p>
    <w:p>
      <w:pPr>
        <w:numPr>
          <w:ilvl w:val="0"/>
          <w:numId w:val="1002"/>
        </w:numPr>
        <w:pStyle w:val="Compact"/>
      </w:pPr>
      <w:r>
        <w:t xml:space="preserve">Degree of Automation Achieved / Reduction in Human Orchestrator operational time.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2025-05-05T21:45:57Z</dcterms:created>
  <dcterms:modified xsi:type="dcterms:W3CDTF">2025-05-05T21:45:57Z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