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X4aa6d76ef011796b46d30a1f61acdc6821b45ce"/>
      <w:r>
        <w:t xml:space="preserve">Strategic Recommendation: High-Volume vs. High-Value Affiliate Model for aitoolfrontier.com</w:t>
      </w:r>
      <w:bookmarkEnd w:id="20"/>
    </w:p>
    <w:p>
      <w:pPr>
        <w:pStyle w:val="FirstParagraph"/>
      </w:pPr>
      <w:r>
        <w:rPr>
          <w:b/>
        </w:rPr>
        <w:t xml:space="preserve">Date:</w:t>
      </w:r>
      <w:r>
        <w:t xml:space="preserve"> </w:t>
      </w:r>
      <w:r>
        <w:t xml:space="preserve">May 4, 2025</w:t>
      </w:r>
    </w:p>
    <w:p>
      <w:pPr>
        <w:pStyle w:val="BodyText"/>
      </w:pPr>
      <w:r>
        <w:rPr>
          <w:b/>
        </w:rPr>
        <w:t xml:space="preserve">Objective:</w:t>
      </w:r>
      <w:r>
        <w:t xml:space="preserve"> </w:t>
      </w:r>
      <w:r>
        <w:t xml:space="preserve">To compare the profitability and strategic fit of a high-volume/lower-value affiliate model versus a low-volume/high-value (recurring commission) model, and recommend the optimal initial strategy for</w:t>
      </w:r>
      <w:r>
        <w:t xml:space="preserve"> </w:t>
      </w:r>
      <w:r>
        <w:rPr>
          <w:rStyle w:val="VerbatimChar"/>
        </w:rPr>
        <w:t xml:space="preserve">aitoolfrontier.com</w:t>
      </w:r>
      <w:r>
        <w:t xml:space="preserve"> </w:t>
      </w:r>
      <w:r>
        <w:t xml:space="preserve">to achieve the long-term Vision.</w:t>
      </w:r>
    </w:p>
    <w:p>
      <w:pPr>
        <w:pStyle w:val="BodyText"/>
      </w:pPr>
      <w:r>
        <w:rPr>
          <w:b/>
        </w:rPr>
        <w:t xml:space="preserve">1. Head-to-Head Profitability Comparison (Year 1 - Highly Accelerated / ~$20k Injection Scenario):</w:t>
      </w:r>
    </w:p>
    <w:p>
      <w:pPr>
        <w:pStyle w:val="BodyText"/>
      </w:pPr>
      <w:r>
        <w:t xml:space="preserve">To provide a fair comparison, let’s revisit the potential Year 1 profitability under aggressive, well-funded scenarios for both models:</w:t>
      </w:r>
    </w:p>
    <w:p>
      <w:pPr>
        <w:numPr>
          <w:ilvl w:val="0"/>
          <w:numId w:val="1001"/>
        </w:numPr>
        <w:pStyle w:val="Compact"/>
      </w:pPr>
      <w:r>
        <w:rPr>
          <w:b/>
        </w:rPr>
        <w:t xml:space="preserve">High-Volume Model (Lower Value):</w:t>
      </w:r>
    </w:p>
    <w:p>
      <w:pPr>
        <w:numPr>
          <w:ilvl w:val="1"/>
          <w:numId w:val="1002"/>
        </w:numPr>
        <w:pStyle w:val="Compact"/>
      </w:pPr>
      <w:r>
        <w:rPr>
          <w:b/>
        </w:rPr>
        <w:t xml:space="preserve">Assumptions:</w:t>
      </w:r>
      <w:r>
        <w:t xml:space="preserve"> </w:t>
      </w:r>
      <w:r>
        <w:t xml:space="preserve">$50 avg. commission, 0.6% conversion, rapid traffic growth (up to 50k views/mo), 4 articles/day, ~$11.1k total costs.</w:t>
      </w:r>
    </w:p>
    <w:p>
      <w:pPr>
        <w:numPr>
          <w:ilvl w:val="1"/>
          <w:numId w:val="1002"/>
        </w:numPr>
        <w:pStyle w:val="Compact"/>
      </w:pPr>
      <w:r>
        <w:rPr>
          <w:b/>
        </w:rPr>
        <w:t xml:space="preserve">Mechanism:</w:t>
      </w:r>
      <w:r>
        <w:t xml:space="preserve"> </w:t>
      </w:r>
      <w:r>
        <w:t xml:space="preserve">Relies on converting a high volume of traffic into many lower-value sales (e.g., ~300 sales/month by end of Year 1).</w:t>
      </w:r>
    </w:p>
    <w:p>
      <w:pPr>
        <w:numPr>
          <w:ilvl w:val="1"/>
          <w:numId w:val="1002"/>
        </w:numPr>
        <w:pStyle w:val="Compact"/>
      </w:pPr>
      <w:r>
        <w:rPr>
          <w:b/>
        </w:rPr>
        <w:t xml:space="preserve">Est. Year 1 Profit:</w:t>
      </w:r>
      <w:r>
        <w:t xml:space="preserve"> </w:t>
      </w:r>
      <w:r>
        <w:rPr>
          <w:b/>
        </w:rPr>
        <w:t xml:space="preserve">~$74,400</w:t>
      </w:r>
      <w:r>
        <w:t xml:space="preserve"> </w:t>
      </w:r>
      <w:r>
        <w:t xml:space="preserve">(From</w:t>
      </w:r>
      <w:r>
        <w:t xml:space="preserve"> </w:t>
      </w:r>
      <w:r>
        <w:rPr>
          <w:rStyle w:val="VerbatimChar"/>
        </w:rPr>
        <w:t xml:space="preserve">aitoolfrontier_capital_injection_scenarios_v1.md</w:t>
      </w:r>
      <w:r>
        <w:t xml:space="preserve">)</w:t>
      </w:r>
    </w:p>
    <w:p>
      <w:pPr>
        <w:numPr>
          <w:ilvl w:val="0"/>
          <w:numId w:val="1001"/>
        </w:numPr>
        <w:pStyle w:val="Compact"/>
      </w:pPr>
      <w:r>
        <w:rPr>
          <w:b/>
        </w:rPr>
        <w:t xml:space="preserve">High-Value Model (Recurring):</w:t>
      </w:r>
    </w:p>
    <w:p>
      <w:pPr>
        <w:numPr>
          <w:ilvl w:val="1"/>
          <w:numId w:val="1003"/>
        </w:numPr>
        <w:pStyle w:val="Compact"/>
      </w:pPr>
      <w:r>
        <w:rPr>
          <w:b/>
        </w:rPr>
        <w:t xml:space="preserve">Assumptions:</w:t>
      </w:r>
      <w:r>
        <w:t xml:space="preserve"> </w:t>
      </w:r>
      <w:r>
        <w:t xml:space="preserve">$200 avg. recurring monthly commission (40% of $500), acquisition accelerated to</w:t>
      </w:r>
      <w:r>
        <w:t xml:space="preserve"> </w:t>
      </w:r>
      <w:r>
        <w:rPr>
          <w:b/>
        </w:rPr>
        <w:t xml:space="preserve">10 new clients/month</w:t>
      </w:r>
      <w:r>
        <w:t xml:space="preserve"> </w:t>
      </w:r>
      <w:r>
        <w:t xml:space="preserve">(enabled by investment), ~$11.1k total costs (assuming similar investment in content/traffic).</w:t>
      </w:r>
    </w:p>
    <w:p>
      <w:pPr>
        <w:numPr>
          <w:ilvl w:val="1"/>
          <w:numId w:val="1003"/>
        </w:numPr>
        <w:pStyle w:val="Compact"/>
      </w:pPr>
      <w:r>
        <w:rPr>
          <w:b/>
        </w:rPr>
        <w:t xml:space="preserve">Mechanism:</w:t>
      </w:r>
      <w:r>
        <w:t xml:space="preserve"> </w:t>
      </w:r>
      <w:r>
        <w:t xml:space="preserve">Relies on acquiring fewer, but much higher-value, B2B clients with recurring revenue.</w:t>
      </w:r>
    </w:p>
    <w:p>
      <w:pPr>
        <w:numPr>
          <w:ilvl w:val="1"/>
          <w:numId w:val="1003"/>
        </w:numPr>
        <w:pStyle w:val="Compact"/>
      </w:pPr>
      <w:r>
        <w:rPr>
          <w:b/>
        </w:rPr>
        <w:t xml:space="preserve">Est. Year 1 Profit:</w:t>
      </w:r>
      <w:r>
        <w:t xml:space="preserve"> </w:t>
      </w:r>
      <w:r>
        <w:rPr>
          <w:b/>
        </w:rPr>
        <w:t xml:space="preserve">~$69,900</w:t>
      </w:r>
      <w:r>
        <w:t xml:space="preserve"> </w:t>
      </w:r>
      <w:r>
        <w:t xml:space="preserve">(Recalculated based on 10 clients/month acquisition from Month 4)</w:t>
      </w:r>
    </w:p>
    <w:p>
      <w:pPr>
        <w:pStyle w:val="FirstParagraph"/>
      </w:pPr>
      <w:r>
        <w:rPr>
          <w:b/>
        </w:rPr>
        <w:t xml:space="preserve">Profitability Conclusion:</w:t>
      </w:r>
      <w:r>
        <w:t xml:space="preserve"> </w:t>
      </w:r>
      <w:r>
        <w:t xml:space="preserve">Under aggressive, well-funded assumptions, the</w:t>
      </w:r>
      <w:r>
        <w:t xml:space="preserve"> </w:t>
      </w:r>
      <w:r>
        <w:rPr>
          <w:i/>
        </w:rPr>
        <w:t xml:space="preserve">Year 1 profit potential</w:t>
      </w:r>
      <w:r>
        <w:t xml:space="preserve"> </w:t>
      </w:r>
      <w:r>
        <w:t xml:space="preserve">appears broadly comparable between the two models. The high-volume model might edge out slightly in Year 1 due to faster initial cash flow from one-time commissions, while the high-value model’s recurring revenue builds more steadily.</w:t>
      </w:r>
    </w:p>
    <w:p>
      <w:pPr>
        <w:pStyle w:val="BodyText"/>
      </w:pPr>
      <w:r>
        <w:rPr>
          <w:b/>
        </w:rPr>
        <w:t xml:space="preserve">2. Strategic Fit &amp; Risk Analysis:</w:t>
      </w:r>
    </w:p>
    <w:tbl>
      <w:tblPr>
        <w:tblStyle w:val="Table"/>
        <w:tblW w:type="pct" w:w="5000.0"/>
        <w:tblLook w:firstRow="1"/>
      </w:tblPr>
      <w:tblGrid>
        <w:gridCol w:w="901"/>
        <w:gridCol w:w="2274"/>
        <w:gridCol w:w="2430"/>
        <w:gridCol w:w="2313"/>
      </w:tblGrid>
      <w:tr>
        <w:trPr>
          <w:cnfStyle w:firstRow="1"/>
        </w:trPr>
        <w:tc>
          <w:tcPr>
            <w:tcBorders>
              <w:bottom w:val="single"/>
            </w:tcBorders>
            <w:vAlign w:val="bottom"/>
          </w:tcPr>
          <w:p>
            <w:pPr>
              <w:pStyle w:val="Compact"/>
              <w:jc w:val="left"/>
            </w:pPr>
            <w:r>
              <w:t xml:space="preserve">Factor</w:t>
            </w:r>
          </w:p>
        </w:tc>
        <w:tc>
          <w:tcPr>
            <w:tcBorders>
              <w:bottom w:val="single"/>
            </w:tcBorders>
            <w:vAlign w:val="bottom"/>
          </w:tcPr>
          <w:p>
            <w:pPr>
              <w:pStyle w:val="Compact"/>
              <w:jc w:val="left"/>
            </w:pPr>
            <w:r>
              <w:t xml:space="preserve">High-Volume (Lower Value)</w:t>
            </w:r>
          </w:p>
        </w:tc>
        <w:tc>
          <w:tcPr>
            <w:tcBorders>
              <w:bottom w:val="single"/>
            </w:tcBorders>
            <w:vAlign w:val="bottom"/>
          </w:tcPr>
          <w:p>
            <w:pPr>
              <w:pStyle w:val="Compact"/>
              <w:jc w:val="left"/>
            </w:pPr>
            <w:r>
              <w:t xml:space="preserve">High-Value (Recurring)</w:t>
            </w:r>
          </w:p>
        </w:tc>
        <w:tc>
          <w:tcPr>
            <w:tcBorders>
              <w:bottom w:val="single"/>
            </w:tcBorders>
            <w:vAlign w:val="bottom"/>
          </w:tcPr>
          <w:p>
            <w:pPr>
              <w:pStyle w:val="Compact"/>
              <w:jc w:val="left"/>
            </w:pPr>
            <w:r>
              <w:t xml:space="preserve">Alignment with Vision</w:t>
            </w:r>
          </w:p>
        </w:tc>
      </w:tr>
      <w:tr>
        <w:tc>
          <w:p>
            <w:pPr>
              <w:pStyle w:val="Compact"/>
              <w:jc w:val="left"/>
            </w:pPr>
            <w:r>
              <w:rPr>
                <w:b/>
              </w:rPr>
              <w:t xml:space="preserve">Revenue Stability</w:t>
            </w:r>
          </w:p>
        </w:tc>
        <w:tc>
          <w:p>
            <w:pPr>
              <w:pStyle w:val="Compact"/>
              <w:jc w:val="left"/>
            </w:pPr>
            <w:r>
              <w:t xml:space="preserve">Lower (relies on constant new sales)</w:t>
            </w:r>
          </w:p>
        </w:tc>
        <w:tc>
          <w:p>
            <w:pPr>
              <w:pStyle w:val="Compact"/>
              <w:jc w:val="left"/>
            </w:pPr>
            <w:r>
              <w:rPr>
                <w:b/>
              </w:rPr>
              <w:t xml:space="preserve">Higher</w:t>
            </w:r>
            <w:r>
              <w:t xml:space="preserve"> </w:t>
            </w:r>
            <w:r>
              <w:t xml:space="preserve">(recurring revenue builds predictable base)</w:t>
            </w:r>
          </w:p>
        </w:tc>
        <w:tc>
          <w:p>
            <w:pPr>
              <w:pStyle w:val="Compact"/>
              <w:jc w:val="left"/>
            </w:pPr>
            <w:r>
              <w:t xml:space="preserve">High-Value better aligns with stable, passive income goal.</w:t>
            </w:r>
          </w:p>
        </w:tc>
      </w:tr>
      <w:tr>
        <w:tc>
          <w:p>
            <w:pPr>
              <w:pStyle w:val="Compact"/>
              <w:jc w:val="left"/>
            </w:pPr>
            <w:r>
              <w:rPr>
                <w:b/>
              </w:rPr>
              <w:t xml:space="preserve">Profit Margin/LTV</w:t>
            </w:r>
          </w:p>
        </w:tc>
        <w:tc>
          <w:p>
            <w:pPr>
              <w:pStyle w:val="Compact"/>
              <w:jc w:val="left"/>
            </w:pPr>
            <w:r>
              <w:t xml:space="preserve">Lower per customer</w:t>
            </w:r>
          </w:p>
        </w:tc>
        <w:tc>
          <w:p>
            <w:pPr>
              <w:pStyle w:val="Compact"/>
              <w:jc w:val="left"/>
            </w:pPr>
            <w:r>
              <w:rPr>
                <w:b/>
              </w:rPr>
              <w:t xml:space="preserve">Significantly Higher</w:t>
            </w:r>
            <w:r>
              <w:t xml:space="preserve"> </w:t>
            </w:r>
            <w:r>
              <w:t xml:space="preserve">per customer (Lifetime Value)</w:t>
            </w:r>
          </w:p>
        </w:tc>
        <w:tc>
          <w:p>
            <w:pPr>
              <w:pStyle w:val="Compact"/>
              <w:jc w:val="left"/>
            </w:pPr>
            <w:r>
              <w:t xml:space="preserve">High-Value better aligns with high-margin business goal.</w:t>
            </w:r>
          </w:p>
        </w:tc>
      </w:tr>
      <w:tr>
        <w:tc>
          <w:p>
            <w:pPr>
              <w:pStyle w:val="Compact"/>
              <w:jc w:val="left"/>
            </w:pPr>
            <w:r>
              <w:rPr>
                <w:b/>
              </w:rPr>
              <w:t xml:space="preserve">Acquisition Ease</w:t>
            </w:r>
          </w:p>
        </w:tc>
        <w:tc>
          <w:p>
            <w:pPr>
              <w:pStyle w:val="Compact"/>
              <w:jc w:val="left"/>
            </w:pPr>
            <w:r>
              <w:rPr>
                <w:b/>
              </w:rPr>
              <w:t xml:space="preserve">Easier</w:t>
            </w:r>
            <w:r>
              <w:t xml:space="preserve"> </w:t>
            </w:r>
            <w:r>
              <w:t xml:space="preserve">(lower friction, self-serve)</w:t>
            </w:r>
          </w:p>
        </w:tc>
        <w:tc>
          <w:p>
            <w:pPr>
              <w:pStyle w:val="Compact"/>
              <w:jc w:val="left"/>
            </w:pPr>
            <w:r>
              <w:t xml:space="preserve">Harder (longer B2B cycle, trust required)</w:t>
            </w:r>
          </w:p>
        </w:tc>
        <w:tc>
          <w:p>
            <w:pPr>
              <w:pStyle w:val="Compact"/>
              <w:jc w:val="left"/>
            </w:pPr>
            <w:r>
              <w:t xml:space="preserve">High-Volume easier</w:t>
            </w:r>
            <w:r>
              <w:t xml:space="preserve"> </w:t>
            </w:r>
            <w:r>
              <w:rPr>
                <w:i/>
              </w:rPr>
              <w:t xml:space="preserve">initially</w:t>
            </w:r>
            <w:r>
              <w:t xml:space="preserve">, but less sustainable?</w:t>
            </w:r>
          </w:p>
        </w:tc>
      </w:tr>
      <w:tr>
        <w:tc>
          <w:p>
            <w:pPr>
              <w:pStyle w:val="Compact"/>
              <w:jc w:val="left"/>
            </w:pPr>
            <w:r>
              <w:rPr>
                <w:b/>
              </w:rPr>
              <w:t xml:space="preserve">Scalability</w:t>
            </w:r>
          </w:p>
        </w:tc>
        <w:tc>
          <w:p>
            <w:pPr>
              <w:pStyle w:val="Compact"/>
              <w:jc w:val="left"/>
            </w:pPr>
            <w:r>
              <w:t xml:space="preserve">Scales with traffic volume &amp; conversion rate optimization</w:t>
            </w:r>
          </w:p>
        </w:tc>
        <w:tc>
          <w:p>
            <w:pPr>
              <w:pStyle w:val="Compact"/>
              <w:jc w:val="left"/>
            </w:pPr>
            <w:r>
              <w:t xml:space="preserve">Scales with authority, lead nurturing, targeted traffic spend</w:t>
            </w:r>
          </w:p>
        </w:tc>
        <w:tc>
          <w:p>
            <w:pPr>
              <w:pStyle w:val="Compact"/>
              <w:jc w:val="left"/>
            </w:pPr>
            <w:r>
              <w:t xml:space="preserve">Both scalable via Manus, but High-Value builds stronger moat.</w:t>
            </w:r>
          </w:p>
        </w:tc>
      </w:tr>
      <w:tr>
        <w:tc>
          <w:p>
            <w:pPr>
              <w:pStyle w:val="Compact"/>
              <w:jc w:val="left"/>
            </w:pPr>
            <w:r>
              <w:rPr>
                <w:b/>
              </w:rPr>
              <w:t xml:space="preserve">Competitive Moat</w:t>
            </w:r>
          </w:p>
        </w:tc>
        <w:tc>
          <w:p>
            <w:pPr>
              <w:pStyle w:val="Compact"/>
              <w:jc w:val="left"/>
            </w:pPr>
            <w:r>
              <w:t xml:space="preserve">Weaker (easier to replicate content/SEO for low value)</w:t>
            </w:r>
          </w:p>
        </w:tc>
        <w:tc>
          <w:p>
            <w:pPr>
              <w:pStyle w:val="Compact"/>
              <w:jc w:val="left"/>
            </w:pPr>
            <w:r>
              <w:rPr>
                <w:b/>
              </w:rPr>
              <w:t xml:space="preserve">Stronger</w:t>
            </w:r>
            <w:r>
              <w:t xml:space="preserve"> </w:t>
            </w:r>
            <w:r>
              <w:t xml:space="preserve">(authority in niche is harder to replicate)</w:t>
            </w:r>
          </w:p>
        </w:tc>
        <w:tc>
          <w:p>
            <w:pPr>
              <w:pStyle w:val="Compact"/>
              <w:jc w:val="left"/>
            </w:pPr>
            <w:r>
              <w:t xml:space="preserve">High-Value offers better long-term defensibility.</w:t>
            </w:r>
          </w:p>
        </w:tc>
      </w:tr>
      <w:tr>
        <w:tc>
          <w:p>
            <w:pPr>
              <w:pStyle w:val="Compact"/>
              <w:jc w:val="left"/>
            </w:pPr>
            <w:r>
              <w:rPr>
                <w:b/>
              </w:rPr>
              <w:t xml:space="preserve">Automation Fit</w:t>
            </w:r>
          </w:p>
        </w:tc>
        <w:tc>
          <w:p>
            <w:pPr>
              <w:pStyle w:val="Compact"/>
              <w:jc w:val="left"/>
            </w:pPr>
            <w:r>
              <w:t xml:space="preserve">Excellent (content, SEO, self-serve sales)</w:t>
            </w:r>
          </w:p>
        </w:tc>
        <w:tc>
          <w:p>
            <w:pPr>
              <w:pStyle w:val="Compact"/>
              <w:jc w:val="left"/>
            </w:pPr>
            <w:r>
              <w:t xml:space="preserve">Excellent (content, SEO, lead nurturing); closing may need work</w:t>
            </w:r>
          </w:p>
        </w:tc>
        <w:tc>
          <w:p>
            <w:pPr>
              <w:pStyle w:val="Compact"/>
              <w:jc w:val="left"/>
            </w:pPr>
            <w:r>
              <w:t xml:space="preserve">Both fit well, High-Value’s recurring nature is key benefit.</w:t>
            </w:r>
          </w:p>
        </w:tc>
      </w:tr>
      <w:tr>
        <w:tc>
          <w:p>
            <w:pPr>
              <w:pStyle w:val="Compact"/>
              <w:jc w:val="left"/>
            </w:pPr>
            <w:r>
              <w:rPr>
                <w:b/>
              </w:rPr>
              <w:t xml:space="preserve">Risk Profile</w:t>
            </w:r>
          </w:p>
        </w:tc>
        <w:tc>
          <w:p>
            <w:pPr>
              <w:pStyle w:val="Compact"/>
              <w:jc w:val="left"/>
            </w:pPr>
            <w:r>
              <w:t xml:space="preserve">SEO algorithm changes, high competition, content churn</w:t>
            </w:r>
          </w:p>
        </w:tc>
        <w:tc>
          <w:p>
            <w:pPr>
              <w:pStyle w:val="Compact"/>
              <w:jc w:val="left"/>
            </w:pPr>
            <w:r>
              <w:t xml:space="preserve">Longer sales cycles, losing key clients, higher initial cost</w:t>
            </w:r>
          </w:p>
        </w:tc>
        <w:tc>
          <w:p>
            <w:pPr>
              <w:pStyle w:val="Compact"/>
              <w:jc w:val="left"/>
            </w:pPr>
            <w:r>
              <w:t xml:space="preserve">High-Value risk mitigated by recurring revenue stability.</w:t>
            </w:r>
          </w:p>
        </w:tc>
      </w:tr>
    </w:tbl>
    <w:p>
      <w:pPr>
        <w:pStyle w:val="BodyText"/>
      </w:pPr>
      <w:r>
        <w:rPr>
          <w:b/>
        </w:rPr>
        <w:t xml:space="preserve">3. Hybrid Approach Consideration:</w:t>
      </w:r>
    </w:p>
    <w:p>
      <w:pPr>
        <w:pStyle w:val="BodyText"/>
      </w:pPr>
      <w:r>
        <w:t xml:space="preserve">Attempting both strategies simultaneously from the start risks diluting focus and spreading resources (Manus’s time, capital for content/ads) too thinly. It’s generally more effective to establish a strong foothold and generate momentum in one core area before diversifying. A hybrid approach could be considered in Year 2+ once the initial model is proven and profitable.</w:t>
      </w:r>
    </w:p>
    <w:p>
      <w:pPr>
        <w:pStyle w:val="BodyText"/>
      </w:pPr>
      <w:r>
        <w:rPr>
          <w:b/>
        </w:rPr>
        <w:t xml:space="preserve">4. Recommendation: Most Profitable Initial Strategy for the Vision</w:t>
      </w:r>
    </w:p>
    <w:p>
      <w:pPr>
        <w:pStyle w:val="BodyText"/>
      </w:pPr>
      <w:r>
        <w:t xml:space="preserve">While both models show significant profit potential under aggressive scenarios, the</w:t>
      </w:r>
      <w:r>
        <w:t xml:space="preserve"> </w:t>
      </w:r>
      <w:r>
        <w:rPr>
          <w:b/>
        </w:rPr>
        <w:t xml:space="preserve">High-Value, Recurring Commission model (focused on the AI Learning Niche)</w:t>
      </w:r>
      <w:r>
        <w:t xml:space="preserve"> </w:t>
      </w:r>
      <w:r>
        <w:t xml:space="preserve">is recommended as the</w:t>
      </w:r>
      <w:r>
        <w:t xml:space="preserve"> </w:t>
      </w:r>
      <w:r>
        <w:rPr>
          <w:b/>
        </w:rPr>
        <w:t xml:space="preserve">optimal initial strategy</w:t>
      </w:r>
      <w:r>
        <w:t xml:space="preserve"> </w:t>
      </w:r>
      <w:r>
        <w:t xml:space="preserve">for</w:t>
      </w:r>
      <w:r>
        <w:t xml:space="preserve"> </w:t>
      </w:r>
      <w:r>
        <w:rPr>
          <w:rStyle w:val="VerbatimChar"/>
        </w:rPr>
        <w:t xml:space="preserve">aitoolfrontier.com</w:t>
      </w:r>
      <w:r>
        <w:t xml:space="preserve">.</w:t>
      </w:r>
    </w:p>
    <w:p>
      <w:pPr>
        <w:pStyle w:val="BodyText"/>
      </w:pPr>
      <w:r>
        <w:rPr>
          <w:b/>
        </w:rPr>
        <w:t xml:space="preserve">Rationale:</w:t>
      </w:r>
    </w:p>
    <w:p>
      <w:pPr>
        <w:numPr>
          <w:ilvl w:val="0"/>
          <w:numId w:val="1004"/>
        </w:numPr>
        <w:pStyle w:val="Compact"/>
      </w:pPr>
      <w:r>
        <w:rPr>
          <w:b/>
        </w:rPr>
        <w:t xml:space="preserve">Superior Alignment with Vision:</w:t>
      </w:r>
      <w:r>
        <w:t xml:space="preserve"> </w:t>
      </w:r>
      <w:r>
        <w:t xml:space="preserve">It directly builds stable, predictable, high-margin</w:t>
      </w:r>
      <w:r>
        <w:t xml:space="preserve"> </w:t>
      </w:r>
      <w:r>
        <w:rPr>
          <w:i/>
        </w:rPr>
        <w:t xml:space="preserve">passive income</w:t>
      </w:r>
      <w:r>
        <w:t xml:space="preserve"> </w:t>
      </w:r>
      <w:r>
        <w:t xml:space="preserve">through recurring commissions, which is central to the Vision.</w:t>
      </w:r>
    </w:p>
    <w:p>
      <w:pPr>
        <w:numPr>
          <w:ilvl w:val="0"/>
          <w:numId w:val="1004"/>
        </w:numPr>
        <w:pStyle w:val="Compact"/>
      </w:pPr>
      <w:r>
        <w:rPr>
          <w:b/>
        </w:rPr>
        <w:t xml:space="preserve">Higher Lifetime Value (LTV):</w:t>
      </w:r>
      <w:r>
        <w:t xml:space="preserve"> </w:t>
      </w:r>
      <w:r>
        <w:t xml:space="preserve">Each acquired customer contributes significantly more revenue over time, making the business more resilient and ultimately more valuable.</w:t>
      </w:r>
    </w:p>
    <w:p>
      <w:pPr>
        <w:numPr>
          <w:ilvl w:val="0"/>
          <w:numId w:val="1004"/>
        </w:numPr>
        <w:pStyle w:val="Compact"/>
      </w:pPr>
      <w:r>
        <w:rPr>
          <w:b/>
        </w:rPr>
        <w:t xml:space="preserve">Stronger Competitive Moat:</w:t>
      </w:r>
      <w:r>
        <w:t xml:space="preserve"> </w:t>
      </w:r>
      <w:r>
        <w:t xml:space="preserve">Building deep authority in a high-value B2B niche is more defensible long-term than competing on volume for lower-value terms.</w:t>
      </w:r>
    </w:p>
    <w:p>
      <w:pPr>
        <w:numPr>
          <w:ilvl w:val="0"/>
          <w:numId w:val="1004"/>
        </w:numPr>
        <w:pStyle w:val="Compact"/>
      </w:pPr>
      <w:r>
        <w:rPr>
          <w:b/>
        </w:rPr>
        <w:t xml:space="preserve">Profitability Potential:</w:t>
      </w:r>
      <w:r>
        <w:t xml:space="preserve"> </w:t>
      </w:r>
      <w:r>
        <w:t xml:space="preserve">While potentially slightly slower in the very first months, the compounding effect of recurring revenue means the high-value model can quickly match and potentially exceed the high-volume model’s profitability, especially into Year 2 and beyond.</w:t>
      </w:r>
    </w:p>
    <w:p>
      <w:pPr>
        <w:numPr>
          <w:ilvl w:val="0"/>
          <w:numId w:val="1004"/>
        </w:numPr>
        <w:pStyle w:val="Compact"/>
      </w:pPr>
      <w:r>
        <w:rPr>
          <w:b/>
        </w:rPr>
        <w:t xml:space="preserve">Addresses Acquisition Challenge:</w:t>
      </w:r>
      <w:r>
        <w:t xml:space="preserve"> </w:t>
      </w:r>
      <w:r>
        <w:t xml:space="preserve">The strategies outlined previously (hyper-targeted content, paid traffic, lead nurturing – all orchestratable by Manus) directly address the challenge of acquiring high-ticket clients, making accelerated acquisition (e.g., 5-10+ clients/month) feasible with appropriate investment.</w:t>
      </w:r>
    </w:p>
    <w:p>
      <w:pPr>
        <w:pStyle w:val="FirstParagraph"/>
      </w:pPr>
      <w:r>
        <w:rPr>
          <w:b/>
        </w:rPr>
        <w:t xml:space="preserve">Conclusion:</w:t>
      </w:r>
      <w:r>
        <w:t xml:space="preserve"> </w:t>
      </w:r>
      <w:r>
        <w:t xml:space="preserve">Concentrate initial efforts and resources (including any capital injection) on aggressively pursuing the high-value AI Learning affiliate niche. Focus Manus on building authority, generating targeted leads, and nurturing them, aiming for an accelerated acquisition rate within this model. This provides the most robust and strategically sound path towards achieving the long-term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2025-05-04T05:49:44Z</dcterms:created>
  <dcterms:modified xsi:type="dcterms:W3CDTF">2025-05-04T05:49:44Z</dcterms:modified>
</cp:coreProperties>
</file>

<file path=docProps/custom.xml><?xml version="1.0" encoding="utf-8"?>
<Properties xmlns="http://schemas.openxmlformats.org/officeDocument/2006/custom-properties" xmlns:vt="http://schemas.openxmlformats.org/officeDocument/2006/docPropsVTypes"/>
</file>