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feab38d04bb877fd6057459226d44f42b429ca2"/>
      <w:r>
        <w:t xml:space="preserve">aitoolfrontier.com: Financial Projections V3 - High-Value AI Learning Niche</w:t>
      </w:r>
      <w:bookmarkEnd w:id="20"/>
    </w:p>
    <w:p>
      <w:pPr>
        <w:pStyle w:val="FirstParagraph"/>
      </w:pPr>
      <w:r>
        <w:rPr>
          <w:b/>
        </w:rPr>
        <w:t xml:space="preserve">Date:</w:t>
      </w:r>
      <w:r>
        <w:t xml:space="preserve"> </w:t>
      </w:r>
      <w:r>
        <w:t xml:space="preserve">May 4, 2025</w:t>
      </w:r>
    </w:p>
    <w:p>
      <w:pPr>
        <w:pStyle w:val="BodyText"/>
      </w:pPr>
      <w:r>
        <w:rPr>
          <w:b/>
        </w:rPr>
        <w:t xml:space="preserve">Introduction:</w:t>
      </w:r>
    </w:p>
    <w:p>
      <w:pPr>
        <w:pStyle w:val="BodyText"/>
      </w:pPr>
      <w:r>
        <w:t xml:space="preserve">Based on user feedback prioritizing maximum profitability and passive income, these projections focus on the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agentic affiliate model targeting the</w:t>
      </w:r>
      <w:r>
        <w:t xml:space="preserve"> </w:t>
      </w:r>
      <w:r>
        <w:rPr>
          <w:b/>
        </w:rPr>
        <w:t xml:space="preserve">AI Learning platform niche</w:t>
      </w:r>
      <w:r>
        <w:t xml:space="preserve">. This niche is characterized by high-ticket B2B pricing and potentially high recurring affiliate commissions, offering significant revenue potential compared to previous models.</w:t>
      </w:r>
    </w:p>
    <w:p>
      <w:pPr>
        <w:pStyle w:val="BodyText"/>
      </w:pPr>
      <w:r>
        <w:rPr>
          <w:b/>
        </w:rPr>
        <w:t xml:space="preserve">Core Assumptions: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Target Niche:</w:t>
      </w:r>
      <w:r>
        <w:t xml:space="preserve"> </w:t>
      </w:r>
      <w:r>
        <w:t xml:space="preserve">AI Learning Platforms (e.g., enterprise solutions like Sana Labs, potentially high-end course platforms like Kajabi AI).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Average Customer Value:</w:t>
      </w:r>
      <w:r>
        <w:t xml:space="preserve"> </w:t>
      </w:r>
      <w:r>
        <w:t xml:space="preserve">$500 / month subscription price.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Commission Rate:</w:t>
      </w:r>
      <w:r>
        <w:t xml:space="preserve"> </w:t>
      </w:r>
      <w:r>
        <w:rPr>
          <w:b/>
        </w:rPr>
        <w:t xml:space="preserve">40% recurring commission</w:t>
      </w:r>
      <w:r>
        <w:t xml:space="preserve"> </w:t>
      </w:r>
      <w:r>
        <w:t xml:space="preserve">(based on user-provided range of 30-60%).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Commission per Customer per Month:</w:t>
      </w:r>
      <w:r>
        <w:t xml:space="preserve"> </w:t>
      </w:r>
      <w:r>
        <w:t xml:space="preserve">40% of $500 =</w:t>
      </w:r>
      <w:r>
        <w:t xml:space="preserve"> </w:t>
      </w:r>
      <w:r>
        <w:rPr>
          <w:b/>
        </w:rPr>
        <w:t xml:space="preserve">$200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Monthly Operating Costs:</w:t>
      </w:r>
      <w:r>
        <w:t xml:space="preserve"> </w:t>
      </w:r>
      <w:r>
        <w:t xml:space="preserve">Estimated at</w:t>
      </w:r>
      <w:r>
        <w:t xml:space="preserve"> </w:t>
      </w:r>
      <w:r>
        <w:rPr>
          <w:b/>
        </w:rPr>
        <w:t xml:space="preserve">$400 / month</w:t>
      </w:r>
      <w:r>
        <w:t xml:space="preserve"> </w:t>
      </w:r>
      <w:r>
        <w:t xml:space="preserve">(covering SEO tool API, AI content generation API, hosting, Google Workspace).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Launch Timeline:</w:t>
      </w:r>
      <w:r>
        <w:t xml:space="preserve"> </w:t>
      </w:r>
      <w:r>
        <w:t xml:space="preserve">Months 1-2 for setup, launch at the beginning of Month 3, first potential acquisition in Month 4.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Reinvestment Protocol:</w:t>
      </w:r>
      <w:r>
        <w:t xml:space="preserve"> </w:t>
      </w:r>
      <w:r>
        <w:t xml:space="preserve">50% of</w:t>
      </w:r>
      <w:r>
        <w:t xml:space="preserve"> </w:t>
      </w:r>
      <w:r>
        <w:rPr>
          <w:i/>
        </w:rPr>
        <w:t xml:space="preserve">monthly</w:t>
      </w:r>
      <w:r>
        <w:t xml:space="preserve"> </w:t>
      </w:r>
      <w:r>
        <w:t xml:space="preserve">operating profit is reinvested (e.g., increasing content velocity, funding paid traffic experiments managed by Manus).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Acquisition Rate Scenarios: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Baseline:</w:t>
      </w:r>
      <w:r>
        <w:t xml:space="preserve"> </w:t>
      </w:r>
      <w:r>
        <w:t xml:space="preserve">1 new client acquired every 2 months (conservative start).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Accelerated:</w:t>
      </w:r>
      <w:r>
        <w:t xml:space="preserve"> </w:t>
      </w:r>
      <w:r>
        <w:t xml:space="preserve">1 new client acquired every month (potentially enabled by ~$5k-10k capital injection for enhanced outreach/content).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Highly Accelerated:</w:t>
      </w:r>
      <w:r>
        <w:t xml:space="preserve"> </w:t>
      </w:r>
      <w:r>
        <w:t xml:space="preserve">2 new clients acquired every month (potentially enabled by ~$20k capital injection for aggressive content scaling and paid traffic).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Scenario 1: Baseline Projection (1 Client / 2 Months)</w:t>
      </w:r>
    </w:p>
    <w:tbl>
      <w:tblPr>
        <w:tblStyle w:val="Table"/>
        <w:tblW w:type="pct" w:w="5000.0"/>
        <w:tblLook w:firstRow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New Clients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Total Clients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Revenue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Costs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Profit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Reinvestment (50%)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Take-Home (50%)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-$200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-$200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$100</w:t>
            </w:r>
          </w:p>
        </w:tc>
        <w:tc>
          <w:p>
            <w:pPr>
              <w:pStyle w:val="Compact"/>
              <w:jc w:val="left"/>
            </w:pPr>
            <w:r>
              <w:t xml:space="preserve">$100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$100</w:t>
            </w:r>
          </w:p>
        </w:tc>
        <w:tc>
          <w:p>
            <w:pPr>
              <w:pStyle w:val="Compact"/>
              <w:jc w:val="left"/>
            </w:pPr>
            <w:r>
              <w:t xml:space="preserve">$100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$1,000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$300</w:t>
            </w:r>
          </w:p>
        </w:tc>
        <w:tc>
          <w:p>
            <w:pPr>
              <w:pStyle w:val="Compact"/>
              <w:jc w:val="left"/>
            </w:pPr>
            <w:r>
              <w:t xml:space="preserve">$300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Year 1 Total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$5,000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$4,800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$900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$900</w:t>
            </w:r>
          </w:p>
        </w:tc>
      </w:tr>
    </w:tbl>
    <w:p>
      <w:pPr>
        <w:pStyle w:val="BodyText"/>
      </w:pPr>
      <w:r>
        <w:rPr>
          <w:i/>
        </w:rPr>
        <w:t xml:space="preserve">Note: Total Profit ($200) = Sum of Monthly Profits. Total Reinvestment ($900) and Take-Home ($900) are sums from months with positive profit.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Scenario 2: Accelerated Projection (1 Client / Month)</w:t>
      </w:r>
      <w:r>
        <w:t xml:space="preserve"> </w:t>
      </w:r>
      <w:r>
        <w:rPr>
          <w:i/>
        </w:rPr>
        <w:t xml:space="preserve">(Assumes capital injection or faster-than-expected organic growth enables quicker acquisition)</w:t>
      </w:r>
    </w:p>
    <w:tbl>
      <w:tblPr>
        <w:tblStyle w:val="Table"/>
        <w:tblW w:type="pct" w:w="5000.0"/>
        <w:tblLook w:firstRow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New Clients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Total Clients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Revenue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Costs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Profit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Reinvestment (50%)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Take-Home (50%)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-$200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$100</w:t>
            </w:r>
          </w:p>
        </w:tc>
        <w:tc>
          <w:p>
            <w:pPr>
              <w:pStyle w:val="Compact"/>
              <w:jc w:val="left"/>
            </w:pPr>
            <w:r>
              <w:t xml:space="preserve">$100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$1,000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$300</w:t>
            </w:r>
          </w:p>
        </w:tc>
        <w:tc>
          <w:p>
            <w:pPr>
              <w:pStyle w:val="Compact"/>
              <w:jc w:val="left"/>
            </w:pPr>
            <w:r>
              <w:t xml:space="preserve">$300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$1,200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$1,400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$1,000</w:t>
            </w:r>
          </w:p>
        </w:tc>
        <w:tc>
          <w:p>
            <w:pPr>
              <w:pStyle w:val="Compact"/>
              <w:jc w:val="left"/>
            </w:pPr>
            <w:r>
              <w:t xml:space="preserve">$500</w:t>
            </w:r>
          </w:p>
        </w:tc>
        <w:tc>
          <w:p>
            <w:pPr>
              <w:pStyle w:val="Compact"/>
              <w:jc w:val="left"/>
            </w:pPr>
            <w:r>
              <w:t xml:space="preserve">$500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$1,600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$1,200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$1,800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$1,400</w:t>
            </w:r>
          </w:p>
        </w:tc>
        <w:tc>
          <w:p>
            <w:pPr>
              <w:pStyle w:val="Compact"/>
              <w:jc w:val="left"/>
            </w:pPr>
            <w:r>
              <w:t xml:space="preserve">$700</w:t>
            </w:r>
          </w:p>
        </w:tc>
        <w:tc>
          <w:p>
            <w:pPr>
              <w:pStyle w:val="Compact"/>
              <w:jc w:val="left"/>
            </w:pPr>
            <w:r>
              <w:t xml:space="preserve">$700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Year 1 Total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$9,000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$4,800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$4,200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$2,800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$2,800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Scenario 3: Highly Accelerated Projection (2 Clients / Month)</w:t>
      </w:r>
      <w:r>
        <w:t xml:space="preserve"> </w:t>
      </w:r>
      <w:r>
        <w:rPr>
          <w:i/>
        </w:rPr>
        <w:t xml:space="preserve">(Assumes significant capital injection (~$20k) enables aggressive content scaling and paid traffic)</w:t>
      </w:r>
    </w:p>
    <w:tbl>
      <w:tblPr>
        <w:tblStyle w:val="Table"/>
        <w:tblW w:type="pct" w:w="5000.0"/>
        <w:tblLook w:firstRow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New Clients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Total Clients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Revenue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Costs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Profit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Reinvestment (50%)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Take-Home (50%)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$1,200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$1,600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$1,200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  <w:tc>
          <w:p>
            <w:pPr>
              <w:pStyle w:val="Compact"/>
              <w:jc w:val="left"/>
            </w:pPr>
            <w:r>
              <w:t xml:space="preserve">$600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$2,000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$1,600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  <w:tc>
          <w:p>
            <w:pPr>
              <w:pStyle w:val="Compact"/>
              <w:jc w:val="left"/>
            </w:pPr>
            <w:r>
              <w:t xml:space="preserve">$800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$2,400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$2,000</w:t>
            </w:r>
          </w:p>
        </w:tc>
        <w:tc>
          <w:p>
            <w:pPr>
              <w:pStyle w:val="Compact"/>
              <w:jc w:val="left"/>
            </w:pPr>
            <w:r>
              <w:t xml:space="preserve">$1,000</w:t>
            </w:r>
          </w:p>
        </w:tc>
        <w:tc>
          <w:p>
            <w:pPr>
              <w:pStyle w:val="Compact"/>
              <w:jc w:val="left"/>
            </w:pPr>
            <w:r>
              <w:t xml:space="preserve">$1,000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$2,800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$2,400</w:t>
            </w:r>
          </w:p>
        </w:tc>
        <w:tc>
          <w:p>
            <w:pPr>
              <w:pStyle w:val="Compact"/>
              <w:jc w:val="left"/>
            </w:pPr>
            <w:r>
              <w:t xml:space="preserve">$1,200</w:t>
            </w:r>
          </w:p>
        </w:tc>
        <w:tc>
          <w:p>
            <w:pPr>
              <w:pStyle w:val="Compact"/>
              <w:jc w:val="left"/>
            </w:pPr>
            <w:r>
              <w:t xml:space="preserve">$1,200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$3,200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$2,800</w:t>
            </w:r>
          </w:p>
        </w:tc>
        <w:tc>
          <w:p>
            <w:pPr>
              <w:pStyle w:val="Compact"/>
              <w:jc w:val="left"/>
            </w:pPr>
            <w:r>
              <w:t xml:space="preserve">$1,400</w:t>
            </w:r>
          </w:p>
        </w:tc>
        <w:tc>
          <w:p>
            <w:pPr>
              <w:pStyle w:val="Compact"/>
              <w:jc w:val="left"/>
            </w:pPr>
            <w:r>
              <w:t xml:space="preserve">$1,400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$3,600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$3,200</w:t>
            </w:r>
          </w:p>
        </w:tc>
        <w:tc>
          <w:p>
            <w:pPr>
              <w:pStyle w:val="Compact"/>
              <w:jc w:val="left"/>
            </w:pPr>
            <w:r>
              <w:t xml:space="preserve">$1,600</w:t>
            </w:r>
          </w:p>
        </w:tc>
        <w:tc>
          <w:p>
            <w:pPr>
              <w:pStyle w:val="Compact"/>
              <w:jc w:val="left"/>
            </w:pPr>
            <w:r>
              <w:t xml:space="preserve">$1,600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Year 1 Total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$18,000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$4,800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$13,200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$7,200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$7,200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Year 1 Summary Comparison:</w:t>
      </w:r>
    </w:p>
    <w:tbl>
      <w:tblPr>
        <w:tblStyle w:val="Table"/>
        <w:tblW w:type="pct" w:w="5000.0"/>
        <w:tblLook w:firstRow="1"/>
      </w:tblPr>
      <w:tblGrid>
        <w:gridCol w:w="1340"/>
        <w:gridCol w:w="1096"/>
        <w:gridCol w:w="1279"/>
        <w:gridCol w:w="1218"/>
        <w:gridCol w:w="1584"/>
        <w:gridCol w:w="140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Acquisition Rate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Year 1 Revenue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Year 1 Profit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Year 1 Reinvestment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Year 1 Take-Home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Baseline</w:t>
            </w:r>
          </w:p>
        </w:tc>
        <w:tc>
          <w:p>
            <w:pPr>
              <w:pStyle w:val="Compact"/>
              <w:jc w:val="left"/>
            </w:pPr>
            <w:r>
              <w:t xml:space="preserve">1 / 2 Months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  <w:tc>
          <w:p>
            <w:pPr>
              <w:pStyle w:val="Compact"/>
              <w:jc w:val="left"/>
            </w:pPr>
            <w:r>
              <w:t xml:space="preserve">$200</w:t>
            </w:r>
          </w:p>
        </w:tc>
        <w:tc>
          <w:p>
            <w:pPr>
              <w:pStyle w:val="Compact"/>
              <w:jc w:val="left"/>
            </w:pPr>
            <w:r>
              <w:t xml:space="preserve">$900</w:t>
            </w:r>
          </w:p>
        </w:tc>
        <w:tc>
          <w:p>
            <w:pPr>
              <w:pStyle w:val="Compact"/>
              <w:jc w:val="left"/>
            </w:pPr>
            <w:r>
              <w:t xml:space="preserve">$900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Accelerated</w:t>
            </w:r>
          </w:p>
        </w:tc>
        <w:tc>
          <w:p>
            <w:pPr>
              <w:pStyle w:val="Compact"/>
              <w:jc w:val="left"/>
            </w:pPr>
            <w:r>
              <w:t xml:space="preserve">1 / Month</w:t>
            </w:r>
          </w:p>
        </w:tc>
        <w:tc>
          <w:p>
            <w:pPr>
              <w:pStyle w:val="Compact"/>
              <w:jc w:val="left"/>
            </w:pPr>
            <w:r>
              <w:t xml:space="preserve">$9,000</w:t>
            </w:r>
          </w:p>
        </w:tc>
        <w:tc>
          <w:p>
            <w:pPr>
              <w:pStyle w:val="Compact"/>
              <w:jc w:val="left"/>
            </w:pPr>
            <w:r>
              <w:t xml:space="preserve">$4,200</w:t>
            </w:r>
          </w:p>
        </w:tc>
        <w:tc>
          <w:p>
            <w:pPr>
              <w:pStyle w:val="Compact"/>
              <w:jc w:val="left"/>
            </w:pPr>
            <w:r>
              <w:t xml:space="preserve">$2,800</w:t>
            </w:r>
          </w:p>
        </w:tc>
        <w:tc>
          <w:p>
            <w:pPr>
              <w:pStyle w:val="Compact"/>
              <w:jc w:val="left"/>
            </w:pPr>
            <w:r>
              <w:t xml:space="preserve">$2,800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Highly Accelerated</w:t>
            </w:r>
          </w:p>
        </w:tc>
        <w:tc>
          <w:p>
            <w:pPr>
              <w:pStyle w:val="Compact"/>
              <w:jc w:val="left"/>
            </w:pPr>
            <w:r>
              <w:t xml:space="preserve">2 / Month</w:t>
            </w:r>
          </w:p>
        </w:tc>
        <w:tc>
          <w:p>
            <w:pPr>
              <w:pStyle w:val="Compact"/>
              <w:jc w:val="left"/>
            </w:pPr>
            <w:r>
              <w:t xml:space="preserve">$18,000</w:t>
            </w:r>
          </w:p>
        </w:tc>
        <w:tc>
          <w:p>
            <w:pPr>
              <w:pStyle w:val="Compact"/>
              <w:jc w:val="left"/>
            </w:pPr>
            <w:r>
              <w:t xml:space="preserve">$13,200</w:t>
            </w:r>
          </w:p>
        </w:tc>
        <w:tc>
          <w:p>
            <w:pPr>
              <w:pStyle w:val="Compact"/>
              <w:jc w:val="left"/>
            </w:pPr>
            <w:r>
              <w:t xml:space="preserve">$7,200</w:t>
            </w:r>
          </w:p>
        </w:tc>
        <w:tc>
          <w:p>
            <w:pPr>
              <w:pStyle w:val="Compact"/>
              <w:jc w:val="left"/>
            </w:pPr>
            <w:r>
              <w:t xml:space="preserve">$7,200</w:t>
            </w:r>
          </w:p>
        </w:tc>
      </w:tr>
    </w:tbl>
    <w:p>
      <w:pPr>
        <w:pStyle w:val="BodyText"/>
      </w:pPr>
      <w:r>
        <w:rPr>
          <w:b/>
        </w:rPr>
        <w:t xml:space="preserve">Conclusion:</w:t>
      </w:r>
    </w:p>
    <w:p>
      <w:pPr>
        <w:pStyle w:val="BodyText"/>
      </w:pPr>
      <w:r>
        <w:t xml:space="preserve">Targeting the high-value AI Learning platform niche significantly increases the potential profitability of the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model, even with conservative acquisition rates. The baseline scenario shows profitability within the first year, while capital injection enabling accelerated acquisition (1 or 2 clients per month) dramatically boosts both total profit and the funds available for reinvestment, creating a strong positive feedback loop for growth. This approach aligns well with the goal of building a scalable, high-margin, automated affiliate business.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2025-05-04T05:27:13Z</dcterms:created>
  <dcterms:modified xsi:type="dcterms:W3CDTF">2025-05-04T05:27:13Z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