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d07306db1fad5e41d1ebf7342f763b60e8c9c6a"/>
      <w:r>
        <w:t xml:space="preserve">Reconciling Projections &amp; Accelerating High-Ticket Affiliate Acquisition</w:t>
      </w:r>
      <w:bookmarkEnd w:id="20"/>
    </w:p>
    <w:p>
      <w:pPr>
        <w:pStyle w:val="FirstParagraph"/>
      </w:pPr>
      <w:r>
        <w:rPr>
          <w:b/>
        </w:rPr>
        <w:t xml:space="preserve">Date:</w:t>
      </w:r>
      <w:r>
        <w:t xml:space="preserve"> </w:t>
      </w:r>
      <w:r>
        <w:t xml:space="preserve">May 4, 2025</w:t>
      </w:r>
    </w:p>
    <w:p>
      <w:pPr>
        <w:pStyle w:val="BodyText"/>
      </w:pPr>
      <w:r>
        <w:rPr>
          <w:b/>
        </w:rPr>
        <w:t xml:space="preserve">Objective:</w:t>
      </w:r>
      <w:r>
        <w:t xml:space="preserve"> </w:t>
      </w:r>
      <w:r>
        <w:t xml:space="preserve">To reconcile the apparent disparity in customer acquisition rates between the previous</w:t>
      </w:r>
      <w:r>
        <w:t xml:space="preserve"> </w:t>
      </w:r>
      <w:r>
        <w:rPr>
          <w:rStyle w:val="VerbatimChar"/>
        </w:rPr>
        <w:t xml:space="preserve">aitoolfrontier.com</w:t>
      </w:r>
      <w:r>
        <w:t xml:space="preserve"> </w:t>
      </w:r>
      <w:r>
        <w:t xml:space="preserve">projections (high volume, lower commission) and the recent projections focusing on the high-value AI Learning niche (low volume, high recurring commission), and to outline strategies for accelerating acquisition in the high-ticket model.</w:t>
      </w:r>
    </w:p>
    <w:p>
      <w:pPr>
        <w:pStyle w:val="BodyText"/>
      </w:pPr>
      <w:r>
        <w:rPr>
          <w:b/>
        </w:rPr>
        <w:t xml:space="preserve">1. Reconciliation of Projection Models:</w:t>
      </w:r>
    </w:p>
    <w:p>
      <w:pPr>
        <w:pStyle w:val="BodyText"/>
      </w:pPr>
      <w:r>
        <w:t xml:space="preserve">The difference in projected acquisition rates (e.g., potentially hundreds of sales/month in the old model vs. 1-2 clients/month in the new baseline) stems primarily from fundamental differences in the target market and product value:</w:t>
      </w:r>
    </w:p>
    <w:p>
      <w:pPr>
        <w:numPr>
          <w:ilvl w:val="0"/>
          <w:numId w:val="1001"/>
        </w:numPr>
        <w:pStyle w:val="Compact"/>
      </w:pPr>
      <w:r>
        <w:rPr>
          <w:b/>
        </w:rPr>
        <w:t xml:space="preserve">Previous Model (Lower Commission, High Volume):</w:t>
      </w:r>
    </w:p>
    <w:p>
      <w:pPr>
        <w:numPr>
          <w:ilvl w:val="1"/>
          <w:numId w:val="1002"/>
        </w:numPr>
        <w:pStyle w:val="Compact"/>
      </w:pPr>
      <w:r>
        <w:rPr>
          <w:b/>
        </w:rPr>
        <w:t xml:space="preserve">Target:</w:t>
      </w:r>
      <w:r>
        <w:t xml:space="preserve"> </w:t>
      </w:r>
      <w:r>
        <w:t xml:space="preserve">Likely assumed promotion of lower-priced AI tools ($50-$100/month range) or tools with broader appeal (SMBs, individual users).</w:t>
      </w:r>
    </w:p>
    <w:p>
      <w:pPr>
        <w:numPr>
          <w:ilvl w:val="1"/>
          <w:numId w:val="1002"/>
        </w:numPr>
        <w:pStyle w:val="Compact"/>
      </w:pPr>
      <w:r>
        <w:rPr>
          <w:b/>
        </w:rPr>
        <w:t xml:space="preserve">Sales Cycle:</w:t>
      </w:r>
      <w:r>
        <w:t xml:space="preserve"> </w:t>
      </w:r>
      <w:r>
        <w:t xml:space="preserve">Shorter, often self-serve. Customers might convert directly from a review or comparison article.</w:t>
      </w:r>
    </w:p>
    <w:p>
      <w:pPr>
        <w:numPr>
          <w:ilvl w:val="1"/>
          <w:numId w:val="1002"/>
        </w:numPr>
        <w:pStyle w:val="Compact"/>
      </w:pPr>
      <w:r>
        <w:rPr>
          <w:b/>
        </w:rPr>
        <w:t xml:space="preserve">Conversion Rate:</w:t>
      </w:r>
      <w:r>
        <w:t xml:space="preserve"> </w:t>
      </w:r>
      <w:r>
        <w:t xml:space="preserve">Assumed a traffic-to-sale conversion rate (e.g., 0.5-0.6%), feasible for lower-friction purchases.</w:t>
      </w:r>
    </w:p>
    <w:p>
      <w:pPr>
        <w:numPr>
          <w:ilvl w:val="1"/>
          <w:numId w:val="1002"/>
        </w:numPr>
        <w:pStyle w:val="Compact"/>
      </w:pPr>
      <w:r>
        <w:rPr>
          <w:b/>
        </w:rPr>
        <w:t xml:space="preserve">Acquisition Focus:</w:t>
      </w:r>
      <w:r>
        <w:t xml:space="preserve"> </w:t>
      </w:r>
      <w:r>
        <w:t xml:space="preserve">Volume-driven, relying on broad traffic and SEO for many small wins.</w:t>
      </w:r>
    </w:p>
    <w:p>
      <w:pPr>
        <w:numPr>
          <w:ilvl w:val="0"/>
          <w:numId w:val="1001"/>
        </w:numPr>
        <w:pStyle w:val="Compact"/>
      </w:pPr>
      <w:r>
        <w:rPr>
          <w:b/>
        </w:rPr>
        <w:t xml:space="preserve">Current Model (High Commission, Low Volume Baseline):</w:t>
      </w:r>
    </w:p>
    <w:p>
      <w:pPr>
        <w:numPr>
          <w:ilvl w:val="1"/>
          <w:numId w:val="1003"/>
        </w:numPr>
        <w:pStyle w:val="Compact"/>
      </w:pPr>
      <w:r>
        <w:rPr>
          <w:b/>
        </w:rPr>
        <w:t xml:space="preserve">Target:</w:t>
      </w:r>
      <w:r>
        <w:t xml:space="preserve"> </w:t>
      </w:r>
      <w:r>
        <w:t xml:space="preserve">High-ticket AI Learning platforms ($500+/user/month), primarily targeting enterprise B2B customers.</w:t>
      </w:r>
    </w:p>
    <w:p>
      <w:pPr>
        <w:numPr>
          <w:ilvl w:val="1"/>
          <w:numId w:val="1003"/>
        </w:numPr>
        <w:pStyle w:val="Compact"/>
      </w:pPr>
      <w:r>
        <w:rPr>
          <w:b/>
        </w:rPr>
        <w:t xml:space="preserve">Sales Cycle:</w:t>
      </w:r>
      <w:r>
        <w:t xml:space="preserve"> </w:t>
      </w:r>
      <w:r>
        <w:t xml:space="preserve">Significantly longer, involving multiple decision-makers, demos, proposals, and higher scrutiny.</w:t>
      </w:r>
    </w:p>
    <w:p>
      <w:pPr>
        <w:numPr>
          <w:ilvl w:val="1"/>
          <w:numId w:val="1003"/>
        </w:numPr>
        <w:pStyle w:val="Compact"/>
      </w:pPr>
      <w:r>
        <w:rPr>
          <w:b/>
        </w:rPr>
        <w:t xml:space="preserve">Conversion Rate:</w:t>
      </w:r>
      <w:r>
        <w:t xml:space="preserve"> </w:t>
      </w:r>
      <w:r>
        <w:t xml:space="preserve">The conversion from initial website visitor to a closed high-ticket sale is inherently much lower. A 1-2 client/month baseline reflects the difficulty and longer timeframe associated with these enterprise-level deals, even with significant traffic.</w:t>
      </w:r>
    </w:p>
    <w:p>
      <w:pPr>
        <w:numPr>
          <w:ilvl w:val="1"/>
          <w:numId w:val="1003"/>
        </w:numPr>
        <w:pStyle w:val="Compact"/>
      </w:pPr>
      <w:r>
        <w:rPr>
          <w:b/>
        </w:rPr>
        <w:t xml:space="preserve">Acquisition Focus:</w:t>
      </w:r>
      <w:r>
        <w:t xml:space="preserve"> </w:t>
      </w:r>
      <w:r>
        <w:t xml:space="preserve">Value-driven, requiring deep trust, authority, and highly targeted efforts for fewer, larger wins.</w:t>
      </w:r>
    </w:p>
    <w:p>
      <w:pPr>
        <w:pStyle w:val="FirstParagraph"/>
      </w:pPr>
      <w:r>
        <w:rPr>
          <w:b/>
        </w:rPr>
        <w:t xml:space="preserve">Conclusion on Disparity:</w:t>
      </w:r>
      <w:r>
        <w:t xml:space="preserve"> </w:t>
      </w:r>
      <w:r>
        <w:t xml:space="preserve">The 1-2 clients/month figure in the AI Learning model’s baseline wasn’t a statement of</w:t>
      </w:r>
      <w:r>
        <w:t xml:space="preserve"> </w:t>
      </w:r>
      <w:r>
        <w:rPr>
          <w:i/>
        </w:rPr>
        <w:t xml:space="preserve">maximum potential</w:t>
      </w:r>
      <w:r>
        <w:t xml:space="preserve">, but rather a conservative starting point acknowledging the inherent challenges of high-ticket B2B affiliate marketing. The previous model’s high volume was tied to a lower price point and different market dynamics. The goal now is to bridge this gap by implementing strategies to accelerate high-ticket acquisition.</w:t>
      </w:r>
    </w:p>
    <w:p>
      <w:pPr>
        <w:pStyle w:val="BodyText"/>
      </w:pPr>
      <w:r>
        <w:rPr>
          <w:b/>
        </w:rPr>
        <w:t xml:space="preserve">2. Strategies to Accelerate High-Ticket Acquisition (AI Learning Niche):</w:t>
      </w:r>
    </w:p>
    <w:p>
      <w:pPr>
        <w:pStyle w:val="BodyText"/>
      </w:pPr>
      <w:r>
        <w:t xml:space="preserve">Achieving higher acquisition rates (e.g., 5, 10, or even 20+ high-ticket clients per month) requires a multi-faceted approach orchestrated by Manus, potentially fueled by capital injection and reinvestment:</w:t>
      </w:r>
    </w:p>
    <w:p>
      <w:pPr>
        <w:numPr>
          <w:ilvl w:val="0"/>
          <w:numId w:val="1004"/>
        </w:numPr>
        <w:pStyle w:val="Compact"/>
      </w:pPr>
      <w:r>
        <w:rPr>
          <w:b/>
        </w:rPr>
        <w:t xml:space="preserve">A. Hyper-Targeted, High-Authority Content (Manus Orchestrated):</w:t>
      </w:r>
    </w:p>
    <w:p>
      <w:pPr>
        <w:numPr>
          <w:ilvl w:val="1"/>
          <w:numId w:val="1005"/>
        </w:numPr>
        <w:pStyle w:val="Compact"/>
      </w:pPr>
      <w:r>
        <w:rPr>
          <w:b/>
        </w:rPr>
        <w:t xml:space="preserve">Action:</w:t>
      </w:r>
      <w:r>
        <w:t xml:space="preserve"> </w:t>
      </w:r>
      <w:r>
        <w:t xml:space="preserve">Move beyond generic reviews. Task Manus to generate in-depth content addressing specific enterprise needs: detailed case studies (potentially anonymized or based on public info), ROI analysis frameworks, implementation guides for specific industries, direct comparisons focusing on enterprise features (security, scalability, integrations).</w:t>
      </w:r>
    </w:p>
    <w:p>
      <w:pPr>
        <w:numPr>
          <w:ilvl w:val="1"/>
          <w:numId w:val="1005"/>
        </w:numPr>
        <w:pStyle w:val="Compact"/>
      </w:pPr>
      <w:r>
        <w:rPr>
          <w:b/>
        </w:rPr>
        <w:t xml:space="preserve">SEO Focus:</w:t>
      </w:r>
      <w:r>
        <w:t xml:space="preserve"> </w:t>
      </w:r>
      <w:r>
        <w:t xml:space="preserve">Target long-tail, high-intent keywords used by B2B buyers (e.g.,</w:t>
      </w:r>
      <w:r>
        <w:t xml:space="preserve"> </w:t>
      </w:r>
      <w:r>
        <w:t xml:space="preserve">“</w:t>
      </w:r>
      <w:r>
        <w:t xml:space="preserve">AI learning platform for financial services compliance training</w:t>
      </w:r>
      <w:r>
        <w:t xml:space="preserve">”</w:t>
      </w:r>
      <w:r>
        <w:t xml:space="preserve">,</w:t>
      </w:r>
      <w:r>
        <w:t xml:space="preserve"> </w:t>
      </w:r>
      <w:r>
        <w:t xml:space="preserve">“</w:t>
      </w:r>
      <w:r>
        <w:t xml:space="preserve">Sana Labs integration with Workday</w:t>
      </w:r>
      <w:r>
        <w:t xml:space="preserve">”</w:t>
      </w:r>
      <w:r>
        <w:t xml:space="preserve">).</w:t>
      </w:r>
    </w:p>
    <w:p>
      <w:pPr>
        <w:numPr>
          <w:ilvl w:val="1"/>
          <w:numId w:val="1005"/>
        </w:numPr>
        <w:pStyle w:val="Compact"/>
      </w:pPr>
      <w:r>
        <w:rPr>
          <w:b/>
        </w:rPr>
        <w:t xml:space="preserve">Format:</w:t>
      </w:r>
      <w:r>
        <w:t xml:space="preserve"> </w:t>
      </w:r>
      <w:r>
        <w:t xml:space="preserve">Utilize diverse formats: long-form articles, downloadable whitepapers/guides (as lead magnets), potentially scripts for AI-generated video summaries.</w:t>
      </w:r>
    </w:p>
    <w:p>
      <w:pPr>
        <w:numPr>
          <w:ilvl w:val="0"/>
          <w:numId w:val="1004"/>
        </w:numPr>
        <w:pStyle w:val="Compact"/>
      </w:pPr>
      <w:r>
        <w:rPr>
          <w:b/>
        </w:rPr>
        <w:t xml:space="preserve">B. Strategic Paid Traffic Campaigns (Manus Managed/Monitored):</w:t>
      </w:r>
    </w:p>
    <w:p>
      <w:pPr>
        <w:numPr>
          <w:ilvl w:val="1"/>
          <w:numId w:val="1006"/>
        </w:numPr>
        <w:pStyle w:val="Compact"/>
      </w:pPr>
      <w:r>
        <w:rPr>
          <w:b/>
        </w:rPr>
        <w:t xml:space="preserve">Action:</w:t>
      </w:r>
      <w:r>
        <w:t xml:space="preserve"> </w:t>
      </w:r>
      <w:r>
        <w:t xml:space="preserve">Allocate capital/reinvestment funds to highly targeted paid campaigns. Focus on platforms where decision-makers are active.</w:t>
      </w:r>
    </w:p>
    <w:p>
      <w:pPr>
        <w:numPr>
          <w:ilvl w:val="1"/>
          <w:numId w:val="1006"/>
        </w:numPr>
        <w:pStyle w:val="Compact"/>
      </w:pPr>
      <w:r>
        <w:rPr>
          <w:b/>
        </w:rPr>
        <w:t xml:space="preserve">Channels:</w:t>
      </w:r>
      <w:r>
        <w:t xml:space="preserve"> </w:t>
      </w:r>
      <w:r>
        <w:t xml:space="preserve">LinkedIn Ads (targeting specific job titles, industries, company sizes), Google Ads (targeting high-intent B2B keywords, competitor terms).</w:t>
      </w:r>
    </w:p>
    <w:p>
      <w:pPr>
        <w:numPr>
          <w:ilvl w:val="1"/>
          <w:numId w:val="1006"/>
        </w:numPr>
        <w:pStyle w:val="Compact"/>
      </w:pPr>
      <w:r>
        <w:rPr>
          <w:b/>
        </w:rPr>
        <w:t xml:space="preserve">Manus Role:</w:t>
      </w:r>
      <w:r>
        <w:t xml:space="preserve"> </w:t>
      </w:r>
      <w:r>
        <w:t xml:space="preserve">If APIs allow, Manus can help set up, manage bids (within budget), and monitor campaign performance, optimizing based on conversion data. At minimum, Manus analyzes performance reports to inform strategy.</w:t>
      </w:r>
    </w:p>
    <w:p>
      <w:pPr>
        <w:numPr>
          <w:ilvl w:val="0"/>
          <w:numId w:val="1004"/>
        </w:numPr>
        <w:pStyle w:val="Compact"/>
      </w:pPr>
      <w:r>
        <w:rPr>
          <w:b/>
        </w:rPr>
        <w:t xml:space="preserve">C. Automated Lead Nurturing &amp; Qualification (Manus + CRM):</w:t>
      </w:r>
    </w:p>
    <w:p>
      <w:pPr>
        <w:numPr>
          <w:ilvl w:val="1"/>
          <w:numId w:val="1007"/>
        </w:numPr>
        <w:pStyle w:val="Compact"/>
      </w:pPr>
      <w:r>
        <w:rPr>
          <w:b/>
        </w:rPr>
        <w:t xml:space="preserve">Action:</w:t>
      </w:r>
      <w:r>
        <w:t xml:space="preserve"> </w:t>
      </w:r>
      <w:r>
        <w:t xml:space="preserve">Implement lead capture forms offering valuable content (whitepapers, guides). Integrate with a CRM (potentially via Zoho or another platform API).</w:t>
      </w:r>
    </w:p>
    <w:p>
      <w:pPr>
        <w:numPr>
          <w:ilvl w:val="1"/>
          <w:numId w:val="1007"/>
        </w:numPr>
        <w:pStyle w:val="Compact"/>
      </w:pPr>
      <w:r>
        <w:rPr>
          <w:b/>
        </w:rPr>
        <w:t xml:space="preserve">Manus Role:</w:t>
      </w:r>
      <w:r>
        <w:t xml:space="preserve"> </w:t>
      </w:r>
      <w:r>
        <w:t xml:space="preserve">Orchestrate automated email nurturing sequences via the CRM API, segmenting leads based on engagement and providing targeted follow-up content. Identify and flag highly engaged leads (</w:t>
      </w:r>
      <w:r>
        <w:t xml:space="preserve">‘</w:t>
      </w:r>
      <w:r>
        <w:t xml:space="preserve">Marketing Qualified Leads</w:t>
      </w:r>
      <w:r>
        <w:t xml:space="preserve">’</w:t>
      </w:r>
      <w:r>
        <w:t xml:space="preserve">) for potential (minimal) user review or automated progression.</w:t>
      </w:r>
    </w:p>
    <w:p>
      <w:pPr>
        <w:numPr>
          <w:ilvl w:val="0"/>
          <w:numId w:val="1004"/>
        </w:numPr>
        <w:pStyle w:val="Compact"/>
      </w:pPr>
      <w:r>
        <w:rPr>
          <w:b/>
        </w:rPr>
        <w:t xml:space="preserve">D. Build Trust &amp; Authority Signals:</w:t>
      </w:r>
    </w:p>
    <w:p>
      <w:pPr>
        <w:numPr>
          <w:ilvl w:val="1"/>
          <w:numId w:val="1008"/>
        </w:numPr>
        <w:pStyle w:val="Compact"/>
      </w:pPr>
      <w:r>
        <w:rPr>
          <w:b/>
        </w:rPr>
        <w:t xml:space="preserve">Action:</w:t>
      </w:r>
      <w:r>
        <w:t xml:space="preserve"> </w:t>
      </w:r>
      <w:r>
        <w:t xml:space="preserve">Ensure the</w:t>
      </w:r>
      <w:r>
        <w:t xml:space="preserve"> </w:t>
      </w:r>
      <w:r>
        <w:rPr>
          <w:rStyle w:val="VerbatimChar"/>
        </w:rPr>
        <w:t xml:space="preserve">aitoolfrontier.com</w:t>
      </w:r>
      <w:r>
        <w:t xml:space="preserve"> </w:t>
      </w:r>
      <w:r>
        <w:t xml:space="preserve">website prominently features trust signals relevant to B2B buyers: clear privacy policy, professional design, potentially curated testimonials or partner logos (if applicable and permitted).</w:t>
      </w:r>
    </w:p>
    <w:p>
      <w:pPr>
        <w:numPr>
          <w:ilvl w:val="1"/>
          <w:numId w:val="1008"/>
        </w:numPr>
        <w:pStyle w:val="Compact"/>
      </w:pPr>
      <w:r>
        <w:rPr>
          <w:b/>
        </w:rPr>
        <w:t xml:space="preserve">Content Quality:</w:t>
      </w:r>
      <w:r>
        <w:t xml:space="preserve"> </w:t>
      </w:r>
      <w:r>
        <w:t xml:space="preserve">The quality and accuracy of the AI-generated content itself are paramount for building authority.</w:t>
      </w:r>
    </w:p>
    <w:p>
      <w:pPr>
        <w:numPr>
          <w:ilvl w:val="0"/>
          <w:numId w:val="1004"/>
        </w:numPr>
        <w:pStyle w:val="Compact"/>
      </w:pPr>
      <w:r>
        <w:rPr>
          <w:b/>
        </w:rPr>
        <w:t xml:space="preserve">E. Optimize Content Velocity &amp; Quality (Resource Allocation):</w:t>
      </w:r>
    </w:p>
    <w:p>
      <w:pPr>
        <w:numPr>
          <w:ilvl w:val="1"/>
          <w:numId w:val="1009"/>
        </w:numPr>
        <w:pStyle w:val="Compact"/>
      </w:pPr>
      <w:r>
        <w:rPr>
          <w:b/>
        </w:rPr>
        <w:t xml:space="preserve">Action:</w:t>
      </w:r>
      <w:r>
        <w:t xml:space="preserve"> </w:t>
      </w:r>
      <w:r>
        <w:t xml:space="preserve">Use reinvestment/capital primarily to increase the</w:t>
      </w:r>
      <w:r>
        <w:t xml:space="preserve"> </w:t>
      </w:r>
      <w:r>
        <w:rPr>
          <w:i/>
        </w:rPr>
        <w:t xml:space="preserve">quality</w:t>
      </w:r>
      <w:r>
        <w:t xml:space="preserve"> </w:t>
      </w:r>
      <w:r>
        <w:t xml:space="preserve">and</w:t>
      </w:r>
      <w:r>
        <w:t xml:space="preserve"> </w:t>
      </w:r>
      <w:r>
        <w:rPr>
          <w:i/>
        </w:rPr>
        <w:t xml:space="preserve">quantity</w:t>
      </w:r>
      <w:r>
        <w:t xml:space="preserve"> </w:t>
      </w:r>
      <w:r>
        <w:t xml:space="preserve">of content focused on the high-value AI Learning platforms. This might involve using more advanced AI models or higher API tiers for content generation and SEO analysis.</w:t>
      </w:r>
    </w:p>
    <w:p>
      <w:pPr>
        <w:pStyle w:val="FirstParagraph"/>
      </w:pPr>
      <w:r>
        <w:rPr>
          <w:b/>
        </w:rPr>
        <w:t xml:space="preserve">3. Revised Acquisition Potential:</w:t>
      </w:r>
    </w:p>
    <w:p>
      <w:pPr>
        <w:pStyle w:val="BodyText"/>
      </w:pPr>
      <w:r>
        <w:t xml:space="preserve">By implementing these strategies, particularly A, B, and C, it’s feasible to aim for significantly higher acquisition rates than the baseline 1-2 clients/month. Achieving</w:t>
      </w:r>
      <w:r>
        <w:t xml:space="preserve"> </w:t>
      </w:r>
      <w:r>
        <w:rPr>
          <w:b/>
        </w:rPr>
        <w:t xml:space="preserve">5-10 high-ticket clients per month</w:t>
      </w:r>
      <w:r>
        <w:t xml:space="preserve"> </w:t>
      </w:r>
      <w:r>
        <w:t xml:space="preserve">within Year 1 becomes a more realistic target, especially with capital injection fueling paid traffic and content scaling. Reaching</w:t>
      </w:r>
      <w:r>
        <w:t xml:space="preserve"> </w:t>
      </w:r>
      <w:r>
        <w:rPr>
          <w:b/>
        </w:rPr>
        <w:t xml:space="preserve">20+ clients per month</w:t>
      </w:r>
      <w:r>
        <w:t xml:space="preserve"> </w:t>
      </w:r>
      <w:r>
        <w:t xml:space="preserve">would likely require sustained success, significant investment, and potentially exploring further automation in the sales qualification process (though closing might still require some minimal human touchpoint or very sophisticated AI interaction).</w:t>
      </w:r>
    </w:p>
    <w:p>
      <w:pPr>
        <w:pStyle w:val="BodyText"/>
      </w:pPr>
      <w:r>
        <w:rPr>
          <w:b/>
        </w:rPr>
        <w:t xml:space="preserve">Recommendation:</w:t>
      </w:r>
    </w:p>
    <w:p>
      <w:pPr>
        <w:pStyle w:val="BodyText"/>
      </w:pPr>
      <w:r>
        <w:t xml:space="preserve">Proceed with the high-value AI Learning niche focus. Approve a strategy that incorporates aggressive, high-quality content generation, targeted paid traffic (requiring budget allocation/capital), and automated lead nurturing. We should revise the</w:t>
      </w:r>
      <w:r>
        <w:t xml:space="preserve"> </w:t>
      </w:r>
      <w:r>
        <w:t xml:space="preserve">‘</w:t>
      </w:r>
      <w:r>
        <w:t xml:space="preserve">Accelerated</w:t>
      </w:r>
      <w:r>
        <w:t xml:space="preserve">’</w:t>
      </w:r>
      <w:r>
        <w:t xml:space="preserve"> </w:t>
      </w:r>
      <w:r>
        <w:t xml:space="preserve">and</w:t>
      </w:r>
      <w:r>
        <w:t xml:space="preserve"> </w:t>
      </w:r>
      <w:r>
        <w:t xml:space="preserve">‘</w:t>
      </w:r>
      <w:r>
        <w:t xml:space="preserve">Highly Accelerated</w:t>
      </w:r>
      <w:r>
        <w:t xml:space="preserve">’</w:t>
      </w:r>
      <w:r>
        <w:t xml:space="preserve"> </w:t>
      </w:r>
      <w:r>
        <w:t xml:space="preserve">projections to reflect a target of perhaps 5 and 10 clients/month respectively, acknowledging the investment required to achieve this.</w:t>
      </w:r>
    </w:p>
    <w:p>
      <w:pPr>
        <w:pStyle w:val="BodyText"/>
      </w:pPr>
      <w:r>
        <w:rPr>
          <w:b/>
        </w:rPr>
        <w:t xml:space="preserve">4. Path from Year 1 Acceleration to Year 2 Vision ($300k-$400k Revenue):</w:t>
      </w:r>
    </w:p>
    <w:p>
      <w:pPr>
        <w:pStyle w:val="BodyText"/>
      </w:pPr>
      <w:r>
        <w:t xml:space="preserve">The ambitious Year 2 revenue target ($300k-$400k) is achievable within the high-value AI Learning affiliate model, building directly upon the foundation laid in Year 1, especially in the accelerated scenarios. Here’s how:</w:t>
      </w:r>
    </w:p>
    <w:p>
      <w:pPr>
        <w:numPr>
          <w:ilvl w:val="0"/>
          <w:numId w:val="1010"/>
        </w:numPr>
        <w:pStyle w:val="Compact"/>
      </w:pPr>
      <w:r>
        <w:rPr>
          <w:b/>
        </w:rPr>
        <w:t xml:space="preserve">Compounding MRR:</w:t>
      </w:r>
      <w:r>
        <w:t xml:space="preserve"> </w:t>
      </w:r>
      <w:r>
        <w:t xml:space="preserve">The core engine is the Monthly Recurring Revenue (MRR) from high-ticket clients. Ending Year 1 with 9 clients (Accelerated Scenario) yields $1,800 MRR, while 18 clients (Highly Accelerated) yields $3,600 MRR. This recurring base provides stable cash flow and a launchpad for Year 2.</w:t>
      </w:r>
    </w:p>
    <w:p>
      <w:pPr>
        <w:numPr>
          <w:ilvl w:val="0"/>
          <w:numId w:val="1010"/>
        </w:numPr>
        <w:pStyle w:val="Compact"/>
      </w:pPr>
      <w:r>
        <w:rPr>
          <w:b/>
        </w:rPr>
        <w:t xml:space="preserve">Scaling Proven Acquisition Channels:</w:t>
      </w:r>
      <w:r>
        <w:t xml:space="preserve"> </w:t>
      </w:r>
      <w:r>
        <w:t xml:space="preserve">The strategies proven effective in Year 1 (hyper-targeted content, paid traffic, lead nurturing) can be scaled significantly in Year 2. The reinvestment fund generated in Year 1 (~$2.8k to ~$7.2k, plus 50% of ongoing profits) can be deployed to:</w:t>
      </w:r>
    </w:p>
    <w:p>
      <w:pPr>
        <w:numPr>
          <w:ilvl w:val="1"/>
          <w:numId w:val="1011"/>
        </w:numPr>
        <w:pStyle w:val="Compact"/>
      </w:pPr>
      <w:r>
        <w:rPr>
          <w:b/>
        </w:rPr>
        <w:t xml:space="preserve">Increase Content Velocity &amp; Depth:</w:t>
      </w:r>
      <w:r>
        <w:t xml:space="preserve"> </w:t>
      </w:r>
      <w:r>
        <w:t xml:space="preserve">Task Manus to produce even more high-authority content, potentially exploring new formats or channels.</w:t>
      </w:r>
    </w:p>
    <w:p>
      <w:pPr>
        <w:numPr>
          <w:ilvl w:val="1"/>
          <w:numId w:val="1011"/>
        </w:numPr>
        <w:pStyle w:val="Compact"/>
      </w:pPr>
      <w:r>
        <w:rPr>
          <w:b/>
        </w:rPr>
        <w:t xml:space="preserve">Expand Paid Traffic Budgets:</w:t>
      </w:r>
      <w:r>
        <w:t xml:space="preserve"> </w:t>
      </w:r>
      <w:r>
        <w:t xml:space="preserve">Increase spending on LinkedIn/Google Ads, refining targeting based on Year 1 data.</w:t>
      </w:r>
    </w:p>
    <w:p>
      <w:pPr>
        <w:numPr>
          <w:ilvl w:val="1"/>
          <w:numId w:val="1011"/>
        </w:numPr>
        <w:pStyle w:val="Compact"/>
      </w:pPr>
      <w:r>
        <w:rPr>
          <w:b/>
        </w:rPr>
        <w:t xml:space="preserve">Optimize Conversion Funnels:</w:t>
      </w:r>
      <w:r>
        <w:t xml:space="preserve"> </w:t>
      </w:r>
      <w:r>
        <w:t xml:space="preserve">Continuously improve lead magnets, nurturing sequences, and website conversion points.</w:t>
      </w:r>
    </w:p>
    <w:p>
      <w:pPr>
        <w:numPr>
          <w:ilvl w:val="0"/>
          <w:numId w:val="1010"/>
        </w:numPr>
        <w:pStyle w:val="Compact"/>
      </w:pPr>
      <w:r>
        <w:rPr>
          <w:b/>
        </w:rPr>
        <w:t xml:space="preserve">Achieving Higher Acquisition Velocity:</w:t>
      </w:r>
      <w:r>
        <w:t xml:space="preserve"> </w:t>
      </w:r>
      <w:r>
        <w:t xml:space="preserve">With scaled strategies and potentially further capital injection (as mentioned by the user), the goal shifts from 1-2 clients/month towards consistently acquiring 5, 10, 15, or even 20+ high-ticket clients per month throughout Year 2.</w:t>
      </w:r>
    </w:p>
    <w:p>
      <w:pPr>
        <w:numPr>
          <w:ilvl w:val="0"/>
          <w:numId w:val="1010"/>
        </w:numPr>
        <w:pStyle w:val="Compact"/>
      </w:pPr>
      <w:r>
        <w:rPr>
          <w:b/>
        </w:rPr>
        <w:t xml:space="preserve">Mathematical Bridge (Illustrative):</w:t>
      </w:r>
    </w:p>
    <w:p>
      <w:pPr>
        <w:numPr>
          <w:ilvl w:val="1"/>
          <w:numId w:val="1012"/>
        </w:numPr>
        <w:pStyle w:val="Compact"/>
      </w:pPr>
      <w:r>
        <w:t xml:space="preserve">Assume the business ends Year 1 with 18 clients ($3,600 MRR) via the Highly Accelerated path.</w:t>
      </w:r>
    </w:p>
    <w:p>
      <w:pPr>
        <w:numPr>
          <w:ilvl w:val="1"/>
          <w:numId w:val="1012"/>
        </w:numPr>
        <w:pStyle w:val="Compact"/>
      </w:pPr>
      <w:r>
        <w:t xml:space="preserve">If in Year 2, acquisition averages</w:t>
      </w:r>
      <w:r>
        <w:t xml:space="preserve"> </w:t>
      </w:r>
      <w:r>
        <w:rPr>
          <w:b/>
        </w:rPr>
        <w:t xml:space="preserve">10 new clients per month</w:t>
      </w:r>
      <w:r>
        <w:t xml:space="preserve"> </w:t>
      </w:r>
      <w:r>
        <w:t xml:space="preserve">(building on scaled strategies):</w:t>
      </w:r>
    </w:p>
    <w:p>
      <w:pPr>
        <w:numPr>
          <w:ilvl w:val="2"/>
          <w:numId w:val="1013"/>
        </w:numPr>
        <w:pStyle w:val="Compact"/>
      </w:pPr>
      <w:r>
        <w:t xml:space="preserve">Month 13: 28 clients -&gt; $5,600 MRR</w:t>
      </w:r>
    </w:p>
    <w:p>
      <w:pPr>
        <w:numPr>
          <w:ilvl w:val="2"/>
          <w:numId w:val="1013"/>
        </w:numPr>
        <w:pStyle w:val="Compact"/>
      </w:pPr>
      <w:r>
        <w:t xml:space="preserve">Month 18: 78 clients -&gt; $15,600 MRR</w:t>
      </w:r>
    </w:p>
    <w:p>
      <w:pPr>
        <w:numPr>
          <w:ilvl w:val="2"/>
          <w:numId w:val="1013"/>
        </w:numPr>
        <w:pStyle w:val="Compact"/>
      </w:pPr>
      <w:r>
        <w:t xml:space="preserve">Month 24: 138 clients -&gt; $27,600 MRR</w:t>
      </w:r>
    </w:p>
    <w:p>
      <w:pPr>
        <w:numPr>
          <w:ilvl w:val="1"/>
          <w:numId w:val="1012"/>
        </w:numPr>
        <w:pStyle w:val="Compact"/>
      </w:pPr>
      <w:r>
        <w:t xml:space="preserve">The</w:t>
      </w:r>
      <w:r>
        <w:t xml:space="preserve"> </w:t>
      </w:r>
      <w:r>
        <w:rPr>
          <w:i/>
        </w:rPr>
        <w:t xml:space="preserve">cumulative</w:t>
      </w:r>
      <w:r>
        <w:t xml:space="preserve"> </w:t>
      </w:r>
      <w:r>
        <w:t xml:space="preserve">revenue over Year 2 in this scenario would be substantial. A simplified average: If the business grows from ~20 clients to ~140 clients over the year, the average number of clients might be around 80. Average monthly revenue: 80 clients * $200/client = $16,000. Total Year 2 Revenue: $16,000 * 12 =</w:t>
      </w:r>
      <w:r>
        <w:t xml:space="preserve"> </w:t>
      </w:r>
      <w:r>
        <w:rPr>
          <w:b/>
        </w:rPr>
        <w:t xml:space="preserve">$192,000</w:t>
      </w:r>
      <w:r>
        <w:t xml:space="preserve">.</w:t>
      </w:r>
    </w:p>
    <w:p>
      <w:pPr>
        <w:numPr>
          <w:ilvl w:val="1"/>
          <w:numId w:val="1012"/>
        </w:numPr>
        <w:pStyle w:val="Compact"/>
      </w:pPr>
      <w:r>
        <w:t xml:space="preserve">To reach the</w:t>
      </w:r>
      <w:r>
        <w:t xml:space="preserve"> </w:t>
      </w:r>
      <w:r>
        <w:rPr>
          <w:b/>
        </w:rPr>
        <w:t xml:space="preserve">$300k-$400k</w:t>
      </w:r>
      <w:r>
        <w:t xml:space="preserve"> </w:t>
      </w:r>
      <w:r>
        <w:t xml:space="preserve">range, the average monthly acquisition rate in Year 2 would need to be closer to</w:t>
      </w:r>
      <w:r>
        <w:t xml:space="preserve"> </w:t>
      </w:r>
      <w:r>
        <w:rPr>
          <w:b/>
        </w:rPr>
        <w:t xml:space="preserve">15-20+ clients per month</w:t>
      </w:r>
      <w:r>
        <w:t xml:space="preserve">, potentially requiring further capital injection to sustain that level of paid traffic and content production.</w:t>
      </w:r>
    </w:p>
    <w:p>
      <w:pPr>
        <w:numPr>
          <w:ilvl w:val="0"/>
          <w:numId w:val="1010"/>
        </w:numPr>
        <w:pStyle w:val="Compact"/>
      </w:pPr>
      <w:r>
        <w:rPr>
          <w:b/>
        </w:rPr>
        <w:t xml:space="preserve">Profitability &amp; Reinvestment:</w:t>
      </w:r>
      <w:r>
        <w:t xml:space="preserve"> </w:t>
      </w:r>
      <w:r>
        <w:t xml:space="preserve">The high commission rate (40% on $500 = $200) ensures strong profitability even with scaled costs. Maintaining the 50% reinvestment protocol fuels this virtuous cycle of growth.</w:t>
      </w:r>
    </w:p>
    <w:p>
      <w:pPr>
        <w:pStyle w:val="FirstParagraph"/>
      </w:pPr>
      <w:r>
        <w:rPr>
          <w:b/>
        </w:rPr>
        <w:t xml:space="preserve">Conclusion on Year 2:</w:t>
      </w:r>
      <w:r>
        <w:t xml:space="preserve"> </w:t>
      </w:r>
      <w:r>
        <w:t xml:space="preserve">The path involves aggressively scaling the acquisition strategies proven in Year 1, funded by initial profits, reinvestment, and potentially further capital. While ambitious, achieving an average of 15-20+ high-ticket client acquisitions per month in Year 2, orchestrated by Manus, can bridge the gap to the $300k-$400k revenue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2025-05-04T05:43:35Z</dcterms:created>
  <dcterms:modified xsi:type="dcterms:W3CDTF">2025-05-04T05:43:35Z</dcterms:modified>
</cp:coreProperties>
</file>

<file path=docProps/custom.xml><?xml version="1.0" encoding="utf-8"?>
<Properties xmlns="http://schemas.openxmlformats.org/officeDocument/2006/custom-properties" xmlns:vt="http://schemas.openxmlformats.org/officeDocument/2006/docPropsVTypes"/>
</file>