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68adaba3d9d4c5a63d3cfa2ca9f2f3986a00050"/>
      <w:r>
        <w:t xml:space="preserve">Strategic Research Notes: AI Learning Niche (B2B)</w:t>
      </w:r>
      <w:bookmarkEnd w:id="20"/>
    </w:p>
    <w:p>
      <w:pPr>
        <w:pStyle w:val="FirstParagraph"/>
      </w:pPr>
      <w:r>
        <w:rPr>
          <w:b/>
        </w:rPr>
        <w:t xml:space="preserve">Date:</w:t>
      </w:r>
      <w:r>
        <w:t xml:space="preserve"> </w:t>
      </w:r>
      <w:r>
        <w:t xml:space="preserve">May 4, 2025</w:t>
      </w:r>
    </w:p>
    <w:p>
      <w:pPr>
        <w:pStyle w:val="BodyText"/>
      </w:pPr>
      <w:r>
        <w:rPr>
          <w:b/>
        </w:rPr>
        <w:t xml:space="preserve">Objective:</w:t>
      </w:r>
      <w:r>
        <w:t xml:space="preserve"> </w:t>
      </w:r>
      <w:r>
        <w:t xml:space="preserve">Identify key B2B pain points, content angles, and strategic considerations for the</w:t>
      </w:r>
      <w:r>
        <w:t xml:space="preserve"> </w:t>
      </w:r>
      <w:r>
        <w:rPr>
          <w:rStyle w:val="VerbatimChar"/>
        </w:rPr>
        <w:t xml:space="preserve">aitoolfrontier.com</w:t>
      </w:r>
      <w:r>
        <w:t xml:space="preserve"> </w:t>
      </w:r>
      <w:r>
        <w:t xml:space="preserve">high-value affiliate strategy targeting AI Learning platforms.</w:t>
      </w:r>
    </w:p>
    <w:p>
      <w:pPr>
        <w:pStyle w:val="BodyText"/>
      </w:pPr>
      <w:r>
        <w:rPr>
          <w:b/>
        </w:rPr>
        <w:t xml:space="preserve">1. Identified B2B Pain Points &amp; Challenges (Related to AI Learning Platform Adoption/Purchase):</w:t>
      </w:r>
    </w:p>
    <w:p>
      <w:pPr>
        <w:pStyle w:val="BodyText"/>
      </w:pPr>
      <w:r>
        <w:t xml:space="preserve">Based on initial web research, potential enterprise customers considering AI Learning platforms likely face the following challenges: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Complexity &amp; Understanding:</w:t>
      </w:r>
      <w:r>
        <w:t xml:space="preserve"> </w:t>
      </w:r>
      <w:r>
        <w:t xml:space="preserve">Difficulty grasping the technical nuances of AI and translating platform features into tangible business value and specific use cases relevant to their organization.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Implementation &amp; Integration:</w:t>
      </w:r>
      <w:r>
        <w:t xml:space="preserve"> </w:t>
      </w:r>
      <w:r>
        <w:t xml:space="preserve">Concerns about integrating the platform with existing systems (LMS, HRIS, data sources), managing data dependencies, ensuring data privacy/security, and the technical effort required for setup.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Demonstrating ROI:</w:t>
      </w:r>
      <w:r>
        <w:t xml:space="preserve"> </w:t>
      </w:r>
      <w:r>
        <w:t xml:space="preserve">Need for clear justification of the investment, including frameworks for calculating potential ROI, understanding total cost of ownership, and comparing against alternatives or the status quo.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Upskilling &amp; Change Management:</w:t>
      </w:r>
      <w:r>
        <w:t xml:space="preserve"> </w:t>
      </w:r>
      <w:r>
        <w:t xml:space="preserve">Worries about the need to train employees not only on using the platform but also potentially on new AI-driven workflows or skills.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Procurement Hurdles:</w:t>
      </w:r>
      <w:r>
        <w:t xml:space="preserve"> </w:t>
      </w:r>
      <w:r>
        <w:t xml:space="preserve">Navigating complex enterprise procurement processes, including legal reviews, budget approvals, and potentially long sales cycles.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Vendor Selection &amp; Trust:</w:t>
      </w:r>
      <w:r>
        <w:t xml:space="preserve"> </w:t>
      </w:r>
      <w:r>
        <w:t xml:space="preserve">Difficulty differentiating between various platforms, assessing vendor reliability, and trusting the effectiveness of the AI components.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Scalability &amp; Performance:</w:t>
      </w:r>
      <w:r>
        <w:t xml:space="preserve"> </w:t>
      </w:r>
      <w:r>
        <w:t xml:space="preserve">Questions about whether the platform can scale effectively to meet the needs of a large enterprise and maintain performance.</w:t>
      </w:r>
    </w:p>
    <w:p>
      <w:pPr>
        <w:pStyle w:val="FirstParagraph"/>
      </w:pPr>
      <w:r>
        <w:rPr>
          <w:b/>
        </w:rPr>
        <w:t xml:space="preserve">2. Implications for Content Strategy:</w:t>
      </w:r>
    </w:p>
    <w:p>
      <w:pPr>
        <w:pStyle w:val="BodyText"/>
      </w:pPr>
      <w:r>
        <w:t xml:space="preserve">Content generated by Manus for</w:t>
      </w:r>
      <w:r>
        <w:t xml:space="preserve"> </w:t>
      </w:r>
      <w:r>
        <w:rPr>
          <w:rStyle w:val="VerbatimChar"/>
        </w:rPr>
        <w:t xml:space="preserve">aitoolfrontier.com</w:t>
      </w:r>
      <w:r>
        <w:t xml:space="preserve"> </w:t>
      </w:r>
      <w:r>
        <w:t xml:space="preserve">should directly address these pain points: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Focus on Business Value:</w:t>
      </w:r>
      <w:r>
        <w:t xml:space="preserve"> </w:t>
      </w:r>
      <w:r>
        <w:t xml:space="preserve">Translate technical features into clear business outcomes (e.g., improved employee performance, reduced training time, faster onboarding, personalized learning paths leading to specific skill gains).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Address Implementation Concerns:</w:t>
      </w:r>
      <w:r>
        <w:t xml:space="preserve"> </w:t>
      </w:r>
      <w:r>
        <w:t xml:space="preserve">Provide guides, checklists, or case studies on successful implementation, integration strategies, and data management best practices.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Provide ROI Frameworks:</w:t>
      </w:r>
      <w:r>
        <w:t xml:space="preserve"> </w:t>
      </w:r>
      <w:r>
        <w:t xml:space="preserve">Offer downloadable calculators, templates, or articles explaining how to estimate the ROI of an AI Learning platform in different business contexts.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Simplify Complexity:</w:t>
      </w:r>
      <w:r>
        <w:t xml:space="preserve"> </w:t>
      </w:r>
      <w:r>
        <w:t xml:space="preserve">Create clear, concise explanations of how the AI works (without excessive jargon) and its practical applications.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Comparative Reviews:</w:t>
      </w:r>
      <w:r>
        <w:t xml:space="preserve"> </w:t>
      </w:r>
      <w:r>
        <w:t xml:space="preserve">Offer in-depth, unbiased comparisons between leading platforms, focusing on features relevant to enterprise needs.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Case Studies:</w:t>
      </w:r>
      <w:r>
        <w:t xml:space="preserve"> </w:t>
      </w:r>
      <w:r>
        <w:t xml:space="preserve">Showcase real-world examples of enterprises successfully using specific platforms to achieve measurable results.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Address Change Management:</w:t>
      </w:r>
      <w:r>
        <w:t xml:space="preserve"> </w:t>
      </w:r>
      <w:r>
        <w:t xml:space="preserve">Discuss strategies for successfully rolling out AI-powered learning tools within an organization.</w:t>
      </w:r>
    </w:p>
    <w:p>
      <w:pPr>
        <w:pStyle w:val="FirstParagraph"/>
      </w:pPr>
      <w:r>
        <w:rPr>
          <w:i/>
        </w:rPr>
        <w:t xml:space="preserve">(Further research ongoing…)</w:t>
      </w:r>
    </w:p>
    <w:p>
      <w:pPr>
        <w:pStyle w:val="BodyText"/>
      </w:pPr>
      <w:r>
        <w:rPr>
          <w:b/>
        </w:rPr>
        <w:t xml:space="preserve">3. Potential Target AI Learning Platforms (Enterprise Focus):</w:t>
      </w:r>
    </w:p>
    <w:p>
      <w:pPr>
        <w:pStyle w:val="BodyText"/>
      </w:pPr>
      <w:r>
        <w:t xml:space="preserve">Based on initial search results, platforms frequently mentioned in the context of AI-powered learning for businesses/enterprises include:</w:t>
      </w:r>
    </w:p>
    <w:p>
      <w:pPr>
        <w:numPr>
          <w:ilvl w:val="0"/>
          <w:numId w:val="1003"/>
        </w:numPr>
        <w:pStyle w:val="Compact"/>
      </w:pPr>
      <w:r>
        <w:t xml:space="preserve">Docebo</w:t>
      </w:r>
    </w:p>
    <w:p>
      <w:pPr>
        <w:numPr>
          <w:ilvl w:val="0"/>
          <w:numId w:val="1003"/>
        </w:numPr>
        <w:pStyle w:val="Compact"/>
      </w:pPr>
      <w:r>
        <w:t xml:space="preserve">Sana</w:t>
      </w:r>
    </w:p>
    <w:p>
      <w:pPr>
        <w:numPr>
          <w:ilvl w:val="0"/>
          <w:numId w:val="1003"/>
        </w:numPr>
        <w:pStyle w:val="Compact"/>
      </w:pPr>
      <w:r>
        <w:t xml:space="preserve">LearnUpon</w:t>
      </w:r>
    </w:p>
    <w:p>
      <w:pPr>
        <w:numPr>
          <w:ilvl w:val="0"/>
          <w:numId w:val="1003"/>
        </w:numPr>
        <w:pStyle w:val="Compact"/>
      </w:pPr>
      <w:r>
        <w:t xml:space="preserve">Absorb LMS</w:t>
      </w:r>
    </w:p>
    <w:p>
      <w:pPr>
        <w:numPr>
          <w:ilvl w:val="0"/>
          <w:numId w:val="1003"/>
        </w:numPr>
        <w:pStyle w:val="Compact"/>
      </w:pPr>
      <w:r>
        <w:t xml:space="preserve">360Learning</w:t>
      </w:r>
    </w:p>
    <w:p>
      <w:pPr>
        <w:numPr>
          <w:ilvl w:val="0"/>
          <w:numId w:val="1003"/>
        </w:numPr>
        <w:pStyle w:val="Compact"/>
      </w:pPr>
      <w:r>
        <w:t xml:space="preserve">Cornerstone</w:t>
      </w:r>
    </w:p>
    <w:p>
      <w:pPr>
        <w:numPr>
          <w:ilvl w:val="0"/>
          <w:numId w:val="1003"/>
        </w:numPr>
        <w:pStyle w:val="Compact"/>
      </w:pPr>
      <w:r>
        <w:t xml:space="preserve">WorkRamp</w:t>
      </w:r>
    </w:p>
    <w:p>
      <w:pPr>
        <w:numPr>
          <w:ilvl w:val="0"/>
          <w:numId w:val="1003"/>
        </w:numPr>
        <w:pStyle w:val="Compact"/>
      </w:pPr>
      <w:r>
        <w:t xml:space="preserve">Coursera for Business (utilizes AI recommendations)</w:t>
      </w:r>
    </w:p>
    <w:p>
      <w:pPr>
        <w:numPr>
          <w:ilvl w:val="0"/>
          <w:numId w:val="1003"/>
        </w:numPr>
        <w:pStyle w:val="Compact"/>
      </w:pPr>
      <w:r>
        <w:t xml:space="preserve">LearnWorlds (mentions AI features)</w:t>
      </w:r>
    </w:p>
    <w:p>
      <w:pPr>
        <w:numPr>
          <w:ilvl w:val="0"/>
          <w:numId w:val="1003"/>
        </w:numPr>
        <w:pStyle w:val="Compact"/>
      </w:pPr>
      <w:r>
        <w:t xml:space="preserve">Disco</w:t>
      </w:r>
    </w:p>
    <w:p>
      <w:pPr>
        <w:numPr>
          <w:ilvl w:val="0"/>
          <w:numId w:val="1003"/>
        </w:numPr>
        <w:pStyle w:val="Compact"/>
      </w:pPr>
      <w:r>
        <w:t xml:space="preserve">Knowledge Anywhere</w:t>
      </w:r>
    </w:p>
    <w:p>
      <w:pPr>
        <w:pStyle w:val="FirstParagraph"/>
      </w:pPr>
      <w:r>
        <w:rPr>
          <w:i/>
        </w:rPr>
        <w:t xml:space="preserve">(Note: This list requires further refinement based on specific features, target market fit for high-ticket B2B, and affiliate program availability/terms. User confirmation needed for initial 1-3 targets.)</w:t>
      </w:r>
    </w:p>
    <w:p>
      <w:pPr>
        <w:pStyle w:val="BodyText"/>
      </w:pPr>
      <w:r>
        <w:rPr>
          <w:b/>
        </w:rPr>
        <w:t xml:space="preserve">4. Content Strategy Considerations (B2B AI Learning):</w:t>
      </w:r>
    </w:p>
    <w:p>
      <w:pPr>
        <w:pStyle w:val="BodyText"/>
      </w:pPr>
      <w:r>
        <w:t xml:space="preserve">Refining the content strategy based on general B2B AI marketing best practices: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Address the Full Funnel:</w:t>
      </w:r>
      <w:r>
        <w:t xml:space="preserve"> </w:t>
      </w:r>
      <w:r>
        <w:t xml:space="preserve">Content needs to cater to different stages of the B2B buyer journey:</w:t>
      </w:r>
    </w:p>
    <w:p>
      <w:pPr>
        <w:numPr>
          <w:ilvl w:val="1"/>
          <w:numId w:val="1005"/>
        </w:numPr>
        <w:pStyle w:val="Compact"/>
      </w:pPr>
      <w:r>
        <w:rPr>
          <w:i/>
        </w:rPr>
        <w:t xml:space="preserve">Awareness:</w:t>
      </w:r>
      <w:r>
        <w:t xml:space="preserve"> </w:t>
      </w:r>
      <w:r>
        <w:t xml:space="preserve">High-level articles explaining the benefits of AI in corporate learning, industry trends.</w:t>
      </w:r>
    </w:p>
    <w:p>
      <w:pPr>
        <w:numPr>
          <w:ilvl w:val="1"/>
          <w:numId w:val="1005"/>
        </w:numPr>
        <w:pStyle w:val="Compact"/>
      </w:pPr>
      <w:r>
        <w:rPr>
          <w:i/>
        </w:rPr>
        <w:t xml:space="preserve">Consideration:</w:t>
      </w:r>
      <w:r>
        <w:t xml:space="preserve"> </w:t>
      </w:r>
      <w:r>
        <w:t xml:space="preserve">Detailed platform comparisons, case studies, ROI calculators, implementation guides (addressing pain points).</w:t>
      </w:r>
    </w:p>
    <w:p>
      <w:pPr>
        <w:numPr>
          <w:ilvl w:val="1"/>
          <w:numId w:val="1005"/>
        </w:numPr>
        <w:pStyle w:val="Compact"/>
      </w:pPr>
      <w:r>
        <w:rPr>
          <w:i/>
        </w:rPr>
        <w:t xml:space="preserve">Decision:</w:t>
      </w:r>
      <w:r>
        <w:t xml:space="preserve"> </w:t>
      </w:r>
      <w:r>
        <w:t xml:space="preserve">Specific feature deep-dives, vendor reliability information, pricing/packaging explanations (where possible).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Emphasize Data &amp; Results:</w:t>
      </w:r>
      <w:r>
        <w:t xml:space="preserve"> </w:t>
      </w:r>
      <w:r>
        <w:t xml:space="preserve">B2B buyers need proof. Use data, statistics, and case study results wherever possible to demonstrate value.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Build Trust &amp; Authority:</w:t>
      </w:r>
      <w:r>
        <w:t xml:space="preserve"> </w:t>
      </w:r>
      <w:r>
        <w:t xml:space="preserve">Focus on accuracy, depth, and providing genuinely useful insights rather than just promotional content. Address potential risks and challenges honestly.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Leverage Multiple Formats:</w:t>
      </w:r>
      <w:r>
        <w:t xml:space="preserve"> </w:t>
      </w:r>
      <w:r>
        <w:t xml:space="preserve">While articles are core, consider incorporating downloadable checklists, templates, webinar summaries (if applicable later), and potentially short video/audio summaries (leveraging future GPT-5 multimodality).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SEO Focus:</w:t>
      </w:r>
      <w:r>
        <w:t xml:space="preserve"> </w:t>
      </w:r>
      <w:r>
        <w:t xml:space="preserve">Target specific, long-tail keywords relevant to enterprise decision-makers researching AI learning solutions (e.g.,</w:t>
      </w:r>
      <w:r>
        <w:t xml:space="preserve"> </w:t>
      </w:r>
      <w:r>
        <w:t xml:space="preserve">“</w:t>
      </w:r>
      <w:r>
        <w:t xml:space="preserve">AI LMS for compliance training,</w:t>
      </w:r>
      <w:r>
        <w:t xml:space="preserve">”</w:t>
      </w:r>
      <w:r>
        <w:t xml:space="preserve"> </w:t>
      </w:r>
      <w:r>
        <w:t xml:space="preserve">“</w:t>
      </w:r>
      <w:r>
        <w:t xml:space="preserve">ROI of personalized learning platforms,</w:t>
      </w:r>
      <w:r>
        <w:t xml:space="preserve">”</w:t>
      </w:r>
      <w:r>
        <w:t xml:space="preserve"> </w:t>
      </w:r>
      <w:r>
        <w:t xml:space="preserve">“</w:t>
      </w:r>
      <w:r>
        <w:t xml:space="preserve">integrating Sana Labs with Workday</w:t>
      </w:r>
      <w:r>
        <w:t xml:space="preserve">”</w:t>
      </w:r>
      <w:r>
        <w:t xml:space="preserve">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Lead Magnets:</w:t>
      </w:r>
      <w:r>
        <w:t xml:space="preserve"> </w:t>
      </w:r>
      <w:r>
        <w:t xml:space="preserve">Offer substantial, high-value downloadable assets (whitepapers, comprehensive guides) in exchange for contact information to fuel the CRM nurturing process.</w:t>
      </w:r>
    </w:p>
    <w:p>
      <w:pPr>
        <w:pStyle w:val="FirstParagraph"/>
      </w:pPr>
      <w:r>
        <w:rPr>
          <w:i/>
        </w:rPr>
        <w:t xml:space="preserve">(Continuing integration design and strategic research…)</w:t>
      </w:r>
    </w:p>
    <w:p>
      <w:pPr>
        <w:pStyle w:val="BodyText"/>
      </w:pPr>
      <w:r>
        <w:rPr>
          <w:b/>
        </w:rPr>
        <w:t xml:space="preserve">5. Platform Comparison Snippets (Docebo vs. Sana):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G2 Comparison:</w:t>
      </w:r>
      <w:r>
        <w:t xml:space="preserve"> </w:t>
      </w:r>
      <w:r>
        <w:t xml:space="preserve">Suggests Sana might have a slight edge in</w:t>
      </w:r>
      <w:r>
        <w:t xml:space="preserve"> </w:t>
      </w:r>
      <w:r>
        <w:t xml:space="preserve">“</w:t>
      </w:r>
      <w:r>
        <w:t xml:space="preserve">Content Delivery and Tracking</w:t>
      </w:r>
      <w:r>
        <w:t xml:space="preserve">”</w:t>
      </w:r>
      <w:r>
        <w:t xml:space="preserve"> </w:t>
      </w:r>
      <w:r>
        <w:t xml:space="preserve">(8.6 vs. 8.4 for Docebo).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Feature Focus:</w:t>
      </w:r>
      <w:r>
        <w:t xml:space="preserve"> </w:t>
      </w:r>
      <w:r>
        <w:t xml:space="preserve">Docebo highlighted for</w:t>
      </w:r>
      <w:r>
        <w:t xml:space="preserve"> </w:t>
      </w:r>
      <w:r>
        <w:t xml:space="preserve">“</w:t>
      </w:r>
      <w:r>
        <w:t xml:space="preserve">Skill-Tagging</w:t>
      </w:r>
      <w:r>
        <w:t xml:space="preserve">”</w:t>
      </w:r>
      <w:r>
        <w:t xml:space="preserve"> </w:t>
      </w:r>
      <w:r>
        <w:t xml:space="preserve">for content organization. Sana highlighted as enabling organizations to scale learning.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AI Approach:</w:t>
      </w:r>
      <w:r>
        <w:t xml:space="preserve"> </w:t>
      </w:r>
      <w:r>
        <w:t xml:space="preserve">Docebo uses AI for content discovery (smart tagging). Sana is positioned as an AI-powered platform focused on personalization and impact.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Pricing Indication:</w:t>
      </w:r>
      <w:r>
        <w:t xml:space="preserve"> </w:t>
      </w:r>
      <w:r>
        <w:t xml:space="preserve">Sana Labs mentioned as having Core and Enterprise plans starting at €7200/year (approx. $7800 USD/year or $650 USD/month), indicating a high-value target.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Interface:</w:t>
      </w:r>
      <w:r>
        <w:t xml:space="preserve"> </w:t>
      </w:r>
      <w:r>
        <w:t xml:space="preserve">Docebo noted as intuitive with a modern UI.</w:t>
      </w:r>
    </w:p>
    <w:p>
      <w:pPr>
        <w:pStyle w:val="FirstParagraph"/>
      </w:pPr>
      <w:r>
        <w:rPr>
          <w:i/>
        </w:rPr>
        <w:t xml:space="preserve">(Further research needed to confirm specific affiliate program details and commission rates for these platforms, pending browser functionality restoration or user input.)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2025-05-04T20:03:26Z</dcterms:created>
  <dcterms:modified xsi:type="dcterms:W3CDTF">2025-05-04T20:03:26Z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