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EC242" w14:textId="77777777" w:rsidR="00CC07DD" w:rsidRPr="00CC07DD" w:rsidRDefault="00CC07DD" w:rsidP="00CC07DD">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r w:rsidRPr="00CC07DD">
        <w:rPr>
          <w:rFonts w:ascii="Times New Roman" w:eastAsia="Times New Roman" w:hAnsi="Times New Roman" w:cs="Times New Roman"/>
          <w:b/>
          <w:bCs/>
          <w:kern w:val="36"/>
          <w:sz w:val="48"/>
          <w:szCs w:val="48"/>
          <w:lang w:eastAsia="en-AU"/>
          <w14:ligatures w14:val="none"/>
        </w:rPr>
        <w:t>Privacy-first AI memory platforms outpacing GPT-5 in European markets</w:t>
      </w:r>
    </w:p>
    <w:p w14:paraId="65EF3E7C" w14:textId="77777777" w:rsidR="00CC07DD" w:rsidRPr="00CC07DD" w:rsidRDefault="00CC07DD" w:rsidP="00CC07DD">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C07DD">
        <w:rPr>
          <w:rFonts w:ascii="Times New Roman" w:eastAsia="Times New Roman" w:hAnsi="Times New Roman" w:cs="Times New Roman"/>
          <w:kern w:val="0"/>
          <w:sz w:val="24"/>
          <w:szCs w:val="24"/>
          <w:lang w:eastAsia="en-AU"/>
          <w14:ligatures w14:val="none"/>
        </w:rPr>
        <w:t xml:space="preserve">Sam Altman's confirmation of GPT-5's summer 2025 release reveals a unified memory architecture that, while technically advanced, faces fundamental privacy challenges that create a significant market opportunity for decentralized alternatives like </w:t>
      </w:r>
      <w:proofErr w:type="spellStart"/>
      <w:r w:rsidRPr="00CC07DD">
        <w:rPr>
          <w:rFonts w:ascii="Times New Roman" w:eastAsia="Times New Roman" w:hAnsi="Times New Roman" w:cs="Times New Roman"/>
          <w:kern w:val="0"/>
          <w:sz w:val="24"/>
          <w:szCs w:val="24"/>
          <w:lang w:eastAsia="en-AU"/>
          <w14:ligatures w14:val="none"/>
        </w:rPr>
        <w:t>Sunaiva's</w:t>
      </w:r>
      <w:proofErr w:type="spellEnd"/>
      <w:r w:rsidRPr="00CC07DD">
        <w:rPr>
          <w:rFonts w:ascii="Times New Roman" w:eastAsia="Times New Roman" w:hAnsi="Times New Roman" w:cs="Times New Roman"/>
          <w:kern w:val="0"/>
          <w:sz w:val="24"/>
          <w:szCs w:val="24"/>
          <w:lang w:eastAsia="en-AU"/>
          <w14:ligatures w14:val="none"/>
        </w:rPr>
        <w:t xml:space="preserve"> Mem0-based system. The convergence of stringent European regulations, a $16.8 billion GDPR services market by 2033, and consumer willingness to pay premium prices for privacy creates ideal conditions for privacy-first AI memory platforms.</w:t>
      </w:r>
    </w:p>
    <w:p w14:paraId="263CFE8E" w14:textId="77777777" w:rsidR="00CC07DD" w:rsidRPr="00CC07DD" w:rsidRDefault="00CC07DD" w:rsidP="00CC07DD">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C07DD">
        <w:rPr>
          <w:rFonts w:ascii="Times New Roman" w:eastAsia="Times New Roman" w:hAnsi="Times New Roman" w:cs="Times New Roman"/>
          <w:b/>
          <w:bCs/>
          <w:kern w:val="0"/>
          <w:sz w:val="36"/>
          <w:szCs w:val="36"/>
          <w:lang w:eastAsia="en-AU"/>
          <w14:ligatures w14:val="none"/>
        </w:rPr>
        <w:t>GPT-5's memory architecture reveals centralization vulnerabilities</w:t>
      </w:r>
    </w:p>
    <w:p w14:paraId="0CFE4975" w14:textId="77777777" w:rsidR="00CC07DD" w:rsidRPr="00CC07DD" w:rsidRDefault="00CC07DD" w:rsidP="00CC07DD">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C07DD">
        <w:rPr>
          <w:rFonts w:ascii="Times New Roman" w:eastAsia="Times New Roman" w:hAnsi="Times New Roman" w:cs="Times New Roman"/>
          <w:kern w:val="0"/>
          <w:sz w:val="24"/>
          <w:szCs w:val="24"/>
          <w:lang w:eastAsia="en-AU"/>
          <w14:ligatures w14:val="none"/>
        </w:rPr>
        <w:t xml:space="preserve">GPT-5 will build upon ChatGPT's current memory system, expanding from basic semantic memory to what Altman describes as models that "get to know users" and become "more useful over time." The architecture will likely integrate </w:t>
      </w:r>
      <w:r w:rsidRPr="00CC07DD">
        <w:rPr>
          <w:rFonts w:ascii="Times New Roman" w:eastAsia="Times New Roman" w:hAnsi="Times New Roman" w:cs="Times New Roman"/>
          <w:b/>
          <w:bCs/>
          <w:kern w:val="0"/>
          <w:sz w:val="24"/>
          <w:szCs w:val="24"/>
          <w:lang w:eastAsia="en-AU"/>
          <w14:ligatures w14:val="none"/>
        </w:rPr>
        <w:t>unified memory capabilities</w:t>
      </w:r>
      <w:r w:rsidRPr="00CC07DD">
        <w:rPr>
          <w:rFonts w:ascii="Times New Roman" w:eastAsia="Times New Roman" w:hAnsi="Times New Roman" w:cs="Times New Roman"/>
          <w:kern w:val="0"/>
          <w:sz w:val="24"/>
          <w:szCs w:val="24"/>
          <w:lang w:eastAsia="en-AU"/>
          <w14:ligatures w14:val="none"/>
        </w:rPr>
        <w:t xml:space="preserve"> combining reasoning with memory retrieval, supporting persistent user-specific memories across sessions, and enabling autonomous agent </w:t>
      </w:r>
      <w:proofErr w:type="spellStart"/>
      <w:r w:rsidRPr="00CC07DD">
        <w:rPr>
          <w:rFonts w:ascii="Times New Roman" w:eastAsia="Times New Roman" w:hAnsi="Times New Roman" w:cs="Times New Roman"/>
          <w:kern w:val="0"/>
          <w:sz w:val="24"/>
          <w:szCs w:val="24"/>
          <w:lang w:eastAsia="en-AU"/>
          <w14:ligatures w14:val="none"/>
        </w:rPr>
        <w:t>behaviors</w:t>
      </w:r>
      <w:proofErr w:type="spellEnd"/>
      <w:r w:rsidRPr="00CC07DD">
        <w:rPr>
          <w:rFonts w:ascii="Times New Roman" w:eastAsia="Times New Roman" w:hAnsi="Times New Roman" w:cs="Times New Roman"/>
          <w:kern w:val="0"/>
          <w:sz w:val="24"/>
          <w:szCs w:val="24"/>
          <w:lang w:eastAsia="en-AU"/>
          <w14:ligatures w14:val="none"/>
        </w:rPr>
        <w:t>. However, this centralized approach creates significant vulnerabilities.</w:t>
      </w:r>
    </w:p>
    <w:p w14:paraId="1254C601" w14:textId="77777777" w:rsidR="00CC07DD" w:rsidRPr="00CC07DD" w:rsidRDefault="00CC07DD" w:rsidP="00CC07DD">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C07DD">
        <w:rPr>
          <w:rFonts w:ascii="Times New Roman" w:eastAsia="Times New Roman" w:hAnsi="Times New Roman" w:cs="Times New Roman"/>
          <w:kern w:val="0"/>
          <w:sz w:val="24"/>
          <w:szCs w:val="24"/>
          <w:lang w:eastAsia="en-AU"/>
          <w14:ligatures w14:val="none"/>
        </w:rPr>
        <w:t xml:space="preserve">Unlike Mem0's distinct separation of semantic, episodic, and procedural memory layers, GPT-5's unified system makes it </w:t>
      </w:r>
      <w:r w:rsidRPr="00CC07DD">
        <w:rPr>
          <w:rFonts w:ascii="Times New Roman" w:eastAsia="Times New Roman" w:hAnsi="Times New Roman" w:cs="Times New Roman"/>
          <w:b/>
          <w:bCs/>
          <w:kern w:val="0"/>
          <w:sz w:val="24"/>
          <w:szCs w:val="24"/>
          <w:lang w:eastAsia="en-AU"/>
          <w14:ligatures w14:val="none"/>
        </w:rPr>
        <w:t>mathematically complex to remove individual data influences</w:t>
      </w:r>
      <w:r w:rsidRPr="00CC07DD">
        <w:rPr>
          <w:rFonts w:ascii="Times New Roman" w:eastAsia="Times New Roman" w:hAnsi="Times New Roman" w:cs="Times New Roman"/>
          <w:kern w:val="0"/>
          <w:sz w:val="24"/>
          <w:szCs w:val="24"/>
          <w:lang w:eastAsia="en-AU"/>
          <w14:ligatures w14:val="none"/>
        </w:rPr>
        <w:t xml:space="preserve"> once integrated into model parameters. French regulators have already clarified that while complete model deletion isn't required for GDPR compliance, the technical challenge of implementing true data erasure in large language models remains unsolved. This creates a fundamental conflict between AI's data requirements and GDPR's Article 17 right to erasure.</w:t>
      </w:r>
    </w:p>
    <w:p w14:paraId="593CC630" w14:textId="77777777" w:rsidR="00CC07DD" w:rsidRPr="00CC07DD" w:rsidRDefault="00CC07DD" w:rsidP="00CC07DD">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C07DD">
        <w:rPr>
          <w:rFonts w:ascii="Times New Roman" w:eastAsia="Times New Roman" w:hAnsi="Times New Roman" w:cs="Times New Roman"/>
          <w:kern w:val="0"/>
          <w:sz w:val="24"/>
          <w:szCs w:val="24"/>
          <w:lang w:eastAsia="en-AU"/>
          <w14:ligatures w14:val="none"/>
        </w:rPr>
        <w:t>The persistence of GPT-5's memory system, while enhancing user experience, amplifies privacy risks through potential model inversion attacks, membership inference vulnerabilities, and gradient leakage even in federated approaches. OpenAI's current implementation uses vector databases with embedding-based retrieval, creating additional attack surfaces that privacy-conscious European consumers increasingly reject.</w:t>
      </w:r>
    </w:p>
    <w:p w14:paraId="0B8C17A0" w14:textId="77777777" w:rsidR="00CC07DD" w:rsidRPr="00CC07DD" w:rsidRDefault="00CC07DD" w:rsidP="00CC07DD">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C07DD">
        <w:rPr>
          <w:rFonts w:ascii="Times New Roman" w:eastAsia="Times New Roman" w:hAnsi="Times New Roman" w:cs="Times New Roman"/>
          <w:b/>
          <w:bCs/>
          <w:kern w:val="0"/>
          <w:sz w:val="36"/>
          <w:szCs w:val="36"/>
          <w:lang w:eastAsia="en-AU"/>
          <w14:ligatures w14:val="none"/>
        </w:rPr>
        <w:t>European privacy regulations create natural barriers to centralized AI memory</w:t>
      </w:r>
    </w:p>
    <w:p w14:paraId="18731617" w14:textId="77777777" w:rsidR="00CC07DD" w:rsidRPr="00CC07DD" w:rsidRDefault="00CC07DD" w:rsidP="00CC07DD">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C07DD">
        <w:rPr>
          <w:rFonts w:ascii="Times New Roman" w:eastAsia="Times New Roman" w:hAnsi="Times New Roman" w:cs="Times New Roman"/>
          <w:kern w:val="0"/>
          <w:sz w:val="24"/>
          <w:szCs w:val="24"/>
          <w:lang w:eastAsia="en-AU"/>
          <w14:ligatures w14:val="none"/>
        </w:rPr>
        <w:t xml:space="preserve">The European regulatory landscape fundamentally </w:t>
      </w:r>
      <w:proofErr w:type="spellStart"/>
      <w:r w:rsidRPr="00CC07DD">
        <w:rPr>
          <w:rFonts w:ascii="Times New Roman" w:eastAsia="Times New Roman" w:hAnsi="Times New Roman" w:cs="Times New Roman"/>
          <w:kern w:val="0"/>
          <w:sz w:val="24"/>
          <w:szCs w:val="24"/>
          <w:lang w:eastAsia="en-AU"/>
          <w14:ligatures w14:val="none"/>
        </w:rPr>
        <w:t>favors</w:t>
      </w:r>
      <w:proofErr w:type="spellEnd"/>
      <w:r w:rsidRPr="00CC07DD">
        <w:rPr>
          <w:rFonts w:ascii="Times New Roman" w:eastAsia="Times New Roman" w:hAnsi="Times New Roman" w:cs="Times New Roman"/>
          <w:kern w:val="0"/>
          <w:sz w:val="24"/>
          <w:szCs w:val="24"/>
          <w:lang w:eastAsia="en-AU"/>
          <w14:ligatures w14:val="none"/>
        </w:rPr>
        <w:t xml:space="preserve"> decentralized, privacy-first architectures. Beyond GDPR's well-known requirements, </w:t>
      </w:r>
      <w:r w:rsidRPr="00CC07DD">
        <w:rPr>
          <w:rFonts w:ascii="Times New Roman" w:eastAsia="Times New Roman" w:hAnsi="Times New Roman" w:cs="Times New Roman"/>
          <w:b/>
          <w:bCs/>
          <w:kern w:val="0"/>
          <w:sz w:val="24"/>
          <w:szCs w:val="24"/>
          <w:lang w:eastAsia="en-AU"/>
          <w14:ligatures w14:val="none"/>
        </w:rPr>
        <w:t>Denmark's pioneering AI ethics law</w:t>
      </w:r>
      <w:r w:rsidRPr="00CC07DD">
        <w:rPr>
          <w:rFonts w:ascii="Times New Roman" w:eastAsia="Times New Roman" w:hAnsi="Times New Roman" w:cs="Times New Roman"/>
          <w:kern w:val="0"/>
          <w:sz w:val="24"/>
          <w:szCs w:val="24"/>
          <w:lang w:eastAsia="en-AU"/>
          <w14:ligatures w14:val="none"/>
        </w:rPr>
        <w:t xml:space="preserve"> mandates algorithmic transparency in annual reports, affecting 1,300 companies with daily fines for non-compliance. Switzerland's Federal Data Protection Act, while technology-neutral, enforces privacy-by-design principles that inherently disadvantage centralized systems.</w:t>
      </w:r>
    </w:p>
    <w:p w14:paraId="12233657" w14:textId="77777777" w:rsidR="00CC07DD" w:rsidRPr="00CC07DD" w:rsidRDefault="00CC07DD" w:rsidP="00CC07DD">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C07DD">
        <w:rPr>
          <w:rFonts w:ascii="Times New Roman" w:eastAsia="Times New Roman" w:hAnsi="Times New Roman" w:cs="Times New Roman"/>
          <w:kern w:val="0"/>
          <w:sz w:val="24"/>
          <w:szCs w:val="24"/>
          <w:lang w:eastAsia="en-AU"/>
          <w14:ligatures w14:val="none"/>
        </w:rPr>
        <w:t xml:space="preserve">Data localization requirements, though not explicitly mandated by GDPR, create de facto restrictions through "appropriate safeguards" requirements for international transfers. With </w:t>
      </w:r>
      <w:r w:rsidRPr="00CC07DD">
        <w:rPr>
          <w:rFonts w:ascii="Times New Roman" w:eastAsia="Times New Roman" w:hAnsi="Times New Roman" w:cs="Times New Roman"/>
          <w:kern w:val="0"/>
          <w:sz w:val="24"/>
          <w:szCs w:val="24"/>
          <w:lang w:eastAsia="en-AU"/>
          <w14:ligatures w14:val="none"/>
        </w:rPr>
        <w:lastRenderedPageBreak/>
        <w:t xml:space="preserve">144 data localization laws globally (up from 67 in 2017), and the EU developing further restrictions through the Data Governance Act, </w:t>
      </w:r>
      <w:r w:rsidRPr="00CC07DD">
        <w:rPr>
          <w:rFonts w:ascii="Times New Roman" w:eastAsia="Times New Roman" w:hAnsi="Times New Roman" w:cs="Times New Roman"/>
          <w:b/>
          <w:bCs/>
          <w:kern w:val="0"/>
          <w:sz w:val="24"/>
          <w:szCs w:val="24"/>
          <w:lang w:eastAsia="en-AU"/>
          <w14:ligatures w14:val="none"/>
        </w:rPr>
        <w:t>centralized AI systems face increasing operational complexity</w:t>
      </w:r>
      <w:r w:rsidRPr="00CC07DD">
        <w:rPr>
          <w:rFonts w:ascii="Times New Roman" w:eastAsia="Times New Roman" w:hAnsi="Times New Roman" w:cs="Times New Roman"/>
          <w:kern w:val="0"/>
          <w:sz w:val="24"/>
          <w:szCs w:val="24"/>
          <w:lang w:eastAsia="en-AU"/>
          <w14:ligatures w14:val="none"/>
        </w:rPr>
        <w:t xml:space="preserve"> that local alternatives avoid entirely.</w:t>
      </w:r>
    </w:p>
    <w:p w14:paraId="6BE8741B" w14:textId="77777777" w:rsidR="00CC07DD" w:rsidRPr="00CC07DD" w:rsidRDefault="00CC07DD" w:rsidP="00CC07DD">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C07DD">
        <w:rPr>
          <w:rFonts w:ascii="Times New Roman" w:eastAsia="Times New Roman" w:hAnsi="Times New Roman" w:cs="Times New Roman"/>
          <w:kern w:val="0"/>
          <w:sz w:val="24"/>
          <w:szCs w:val="24"/>
          <w:lang w:eastAsia="en-AU"/>
          <w14:ligatures w14:val="none"/>
        </w:rPr>
        <w:t>Major AI companies struggle with these requirements. Anthropic's recent EU compliance measures reportedly degraded performance, while OpenAI faces ongoing negotiations with Italian regulators. Google and Microsoft leverage existing enterprise frameworks but still require extensive contractual assurances for EU data residency. This regulatory friction creates a 15-30% "sovereignty premium" that European businesses willingly pay for compliant alternatives.</w:t>
      </w:r>
    </w:p>
    <w:p w14:paraId="4FBB1B1B" w14:textId="77777777" w:rsidR="00CC07DD" w:rsidRPr="00CC07DD" w:rsidRDefault="00CC07DD" w:rsidP="00CC07DD">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C07DD">
        <w:rPr>
          <w:rFonts w:ascii="Times New Roman" w:eastAsia="Times New Roman" w:hAnsi="Times New Roman" w:cs="Times New Roman"/>
          <w:b/>
          <w:bCs/>
          <w:kern w:val="0"/>
          <w:sz w:val="36"/>
          <w:szCs w:val="36"/>
          <w:lang w:eastAsia="en-AU"/>
          <w14:ligatures w14:val="none"/>
        </w:rPr>
        <w:t>Hallucination reduction claims mask deeper validation challenges</w:t>
      </w:r>
    </w:p>
    <w:p w14:paraId="580BB8D8" w14:textId="77777777" w:rsidR="00CC07DD" w:rsidRPr="00CC07DD" w:rsidRDefault="00CC07DD" w:rsidP="00CC07DD">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C07DD">
        <w:rPr>
          <w:rFonts w:ascii="Times New Roman" w:eastAsia="Times New Roman" w:hAnsi="Times New Roman" w:cs="Times New Roman"/>
          <w:kern w:val="0"/>
          <w:sz w:val="24"/>
          <w:szCs w:val="24"/>
          <w:lang w:eastAsia="en-AU"/>
          <w14:ligatures w14:val="none"/>
        </w:rPr>
        <w:t xml:space="preserve">While the specific claim of GPT-5 reducing hallucinations from 35% to 15% remains unverified, current benchmarks reveal concerning trends. GPT-4.5 shows 37.1% hallucination rates on </w:t>
      </w:r>
      <w:proofErr w:type="spellStart"/>
      <w:r w:rsidRPr="00CC07DD">
        <w:rPr>
          <w:rFonts w:ascii="Times New Roman" w:eastAsia="Times New Roman" w:hAnsi="Times New Roman" w:cs="Times New Roman"/>
          <w:kern w:val="0"/>
          <w:sz w:val="24"/>
          <w:szCs w:val="24"/>
          <w:lang w:eastAsia="en-AU"/>
          <w14:ligatures w14:val="none"/>
        </w:rPr>
        <w:t>SimpleQA</w:t>
      </w:r>
      <w:proofErr w:type="spellEnd"/>
      <w:r w:rsidRPr="00CC07DD">
        <w:rPr>
          <w:rFonts w:ascii="Times New Roman" w:eastAsia="Times New Roman" w:hAnsi="Times New Roman" w:cs="Times New Roman"/>
          <w:kern w:val="0"/>
          <w:sz w:val="24"/>
          <w:szCs w:val="24"/>
          <w:lang w:eastAsia="en-AU"/>
          <w14:ligatures w14:val="none"/>
        </w:rPr>
        <w:t xml:space="preserve">, while </w:t>
      </w:r>
      <w:r w:rsidRPr="00CC07DD">
        <w:rPr>
          <w:rFonts w:ascii="Times New Roman" w:eastAsia="Times New Roman" w:hAnsi="Times New Roman" w:cs="Times New Roman"/>
          <w:b/>
          <w:bCs/>
          <w:kern w:val="0"/>
          <w:sz w:val="24"/>
          <w:szCs w:val="24"/>
          <w:lang w:eastAsia="en-AU"/>
          <w14:ligatures w14:val="none"/>
        </w:rPr>
        <w:t>reasoning models paradoxically exhibit higher rates</w:t>
      </w:r>
      <w:r w:rsidRPr="00CC07DD">
        <w:rPr>
          <w:rFonts w:ascii="Times New Roman" w:eastAsia="Times New Roman" w:hAnsi="Times New Roman" w:cs="Times New Roman"/>
          <w:kern w:val="0"/>
          <w:sz w:val="24"/>
          <w:szCs w:val="24"/>
          <w:lang w:eastAsia="en-AU"/>
          <w14:ligatures w14:val="none"/>
        </w:rPr>
        <w:t xml:space="preserve">: o3 at 33% and o4-mini at 48% on </w:t>
      </w:r>
      <w:proofErr w:type="spellStart"/>
      <w:r w:rsidRPr="00CC07DD">
        <w:rPr>
          <w:rFonts w:ascii="Times New Roman" w:eastAsia="Times New Roman" w:hAnsi="Times New Roman" w:cs="Times New Roman"/>
          <w:kern w:val="0"/>
          <w:sz w:val="24"/>
          <w:szCs w:val="24"/>
          <w:lang w:eastAsia="en-AU"/>
          <w14:ligatures w14:val="none"/>
        </w:rPr>
        <w:t>PersonQA</w:t>
      </w:r>
      <w:proofErr w:type="spellEnd"/>
      <w:r w:rsidRPr="00CC07DD">
        <w:rPr>
          <w:rFonts w:ascii="Times New Roman" w:eastAsia="Times New Roman" w:hAnsi="Times New Roman" w:cs="Times New Roman"/>
          <w:kern w:val="0"/>
          <w:sz w:val="24"/>
          <w:szCs w:val="24"/>
          <w:lang w:eastAsia="en-AU"/>
          <w14:ligatures w14:val="none"/>
        </w:rPr>
        <w:t xml:space="preserve">. This suggests that advanced capabilities may </w:t>
      </w:r>
      <w:proofErr w:type="gramStart"/>
      <w:r w:rsidRPr="00CC07DD">
        <w:rPr>
          <w:rFonts w:ascii="Times New Roman" w:eastAsia="Times New Roman" w:hAnsi="Times New Roman" w:cs="Times New Roman"/>
          <w:kern w:val="0"/>
          <w:sz w:val="24"/>
          <w:szCs w:val="24"/>
          <w:lang w:eastAsia="en-AU"/>
          <w14:ligatures w14:val="none"/>
        </w:rPr>
        <w:t>actually increase</w:t>
      </w:r>
      <w:proofErr w:type="gramEnd"/>
      <w:r w:rsidRPr="00CC07DD">
        <w:rPr>
          <w:rFonts w:ascii="Times New Roman" w:eastAsia="Times New Roman" w:hAnsi="Times New Roman" w:cs="Times New Roman"/>
          <w:kern w:val="0"/>
          <w:sz w:val="24"/>
          <w:szCs w:val="24"/>
          <w:lang w:eastAsia="en-AU"/>
          <w14:ligatures w14:val="none"/>
        </w:rPr>
        <w:t xml:space="preserve"> validation challenges.</w:t>
      </w:r>
    </w:p>
    <w:p w14:paraId="54BF0EBC" w14:textId="77777777" w:rsidR="00CC07DD" w:rsidRPr="00CC07DD" w:rsidRDefault="00CC07DD" w:rsidP="00CC07DD">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C07DD">
        <w:rPr>
          <w:rFonts w:ascii="Times New Roman" w:eastAsia="Times New Roman" w:hAnsi="Times New Roman" w:cs="Times New Roman"/>
          <w:kern w:val="0"/>
          <w:sz w:val="24"/>
          <w:szCs w:val="24"/>
          <w:lang w:eastAsia="en-AU"/>
          <w14:ligatures w14:val="none"/>
        </w:rPr>
        <w:t>The market impact is substantial: McKinsey estimates $67.4 billion in global losses from AI hallucinations in 2024, with enterprises spending $14,200 per employee annually on mitigation. Knowledge workers waste 4.3 hours weekly verifying AI outputs, while 47% of enterprise users have made major decisions based on hallucinated content.</w:t>
      </w:r>
    </w:p>
    <w:p w14:paraId="40A51B16" w14:textId="77777777" w:rsidR="00CC07DD" w:rsidRPr="00CC07DD" w:rsidRDefault="00CC07DD" w:rsidP="00CC07DD">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C07DD">
        <w:rPr>
          <w:rFonts w:ascii="Times New Roman" w:eastAsia="Times New Roman" w:hAnsi="Times New Roman" w:cs="Times New Roman"/>
          <w:kern w:val="0"/>
          <w:sz w:val="24"/>
          <w:szCs w:val="24"/>
          <w:lang w:eastAsia="en-AU"/>
          <w14:ligatures w14:val="none"/>
        </w:rPr>
        <w:t xml:space="preserve">Industry leaders achieve dramatically better results through specialized approaches. Google's Gemini-2.0-Flash achieves 0.7% hallucination rates, while </w:t>
      </w:r>
      <w:r w:rsidRPr="00CC07DD">
        <w:rPr>
          <w:rFonts w:ascii="Times New Roman" w:eastAsia="Times New Roman" w:hAnsi="Times New Roman" w:cs="Times New Roman"/>
          <w:b/>
          <w:bCs/>
          <w:kern w:val="0"/>
          <w:sz w:val="24"/>
          <w:szCs w:val="24"/>
          <w:lang w:eastAsia="en-AU"/>
          <w14:ligatures w14:val="none"/>
        </w:rPr>
        <w:t>cryptographic validation methods</w:t>
      </w:r>
      <w:r w:rsidRPr="00CC07DD">
        <w:rPr>
          <w:rFonts w:ascii="Times New Roman" w:eastAsia="Times New Roman" w:hAnsi="Times New Roman" w:cs="Times New Roman"/>
          <w:kern w:val="0"/>
          <w:sz w:val="24"/>
          <w:szCs w:val="24"/>
          <w:lang w:eastAsia="en-AU"/>
          <w14:ligatures w14:val="none"/>
        </w:rPr>
        <w:t xml:space="preserve"> using zero-knowledge proofs enable verification without exposing proprietary algorithms. This creates a clear differentiation opportunity for platforms offering verifiable accuracy guarantees.</w:t>
      </w:r>
    </w:p>
    <w:p w14:paraId="190CFE33" w14:textId="77777777" w:rsidR="00CC07DD" w:rsidRPr="00CC07DD" w:rsidRDefault="00CC07DD" w:rsidP="00CC07DD">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C07DD">
        <w:rPr>
          <w:rFonts w:ascii="Times New Roman" w:eastAsia="Times New Roman" w:hAnsi="Times New Roman" w:cs="Times New Roman"/>
          <w:b/>
          <w:bCs/>
          <w:kern w:val="0"/>
          <w:sz w:val="36"/>
          <w:szCs w:val="36"/>
          <w:lang w:eastAsia="en-AU"/>
          <w14:ligatures w14:val="none"/>
        </w:rPr>
        <w:t>European privacy-first AI market accelerates beyond projections</w:t>
      </w:r>
    </w:p>
    <w:p w14:paraId="2280B0E3" w14:textId="77777777" w:rsidR="00CC07DD" w:rsidRPr="00CC07DD" w:rsidRDefault="00CC07DD" w:rsidP="00CC07DD">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C07DD">
        <w:rPr>
          <w:rFonts w:ascii="Times New Roman" w:eastAsia="Times New Roman" w:hAnsi="Times New Roman" w:cs="Times New Roman"/>
          <w:kern w:val="0"/>
          <w:sz w:val="24"/>
          <w:szCs w:val="24"/>
          <w:lang w:eastAsia="en-AU"/>
          <w14:ligatures w14:val="none"/>
        </w:rPr>
        <w:t>The European privacy-first AI ecosystem demonstrates remarkable growth, with GDPR services alone expanding from $3.0 billion in 2024 to a projected $16.8 billion by 2033 (20.05% CAGR). Switzerland leads innovation with AI funding doubling in 2024 to represent 22% of all funding rounds, while the Swiss government invested €27 million specifically for public sector AI adoption.</w:t>
      </w:r>
    </w:p>
    <w:p w14:paraId="3E0EBD72" w14:textId="77777777" w:rsidR="00CC07DD" w:rsidRPr="00CC07DD" w:rsidRDefault="00CC07DD" w:rsidP="00CC07DD">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C07DD">
        <w:rPr>
          <w:rFonts w:ascii="Times New Roman" w:eastAsia="Times New Roman" w:hAnsi="Times New Roman" w:cs="Times New Roman"/>
          <w:kern w:val="0"/>
          <w:sz w:val="24"/>
          <w:szCs w:val="24"/>
          <w:lang w:eastAsia="en-AU"/>
          <w14:ligatures w14:val="none"/>
        </w:rPr>
        <w:t xml:space="preserve">Success stories validate the market opportunity. </w:t>
      </w:r>
      <w:r w:rsidRPr="00CC07DD">
        <w:rPr>
          <w:rFonts w:ascii="Times New Roman" w:eastAsia="Times New Roman" w:hAnsi="Times New Roman" w:cs="Times New Roman"/>
          <w:b/>
          <w:bCs/>
          <w:kern w:val="0"/>
          <w:sz w:val="24"/>
          <w:szCs w:val="24"/>
          <w:lang w:eastAsia="en-AU"/>
          <w14:ligatures w14:val="none"/>
        </w:rPr>
        <w:t>ProtonMail</w:t>
      </w:r>
      <w:r w:rsidRPr="00CC07DD">
        <w:rPr>
          <w:rFonts w:ascii="Times New Roman" w:eastAsia="Times New Roman" w:hAnsi="Times New Roman" w:cs="Times New Roman"/>
          <w:kern w:val="0"/>
          <w:sz w:val="24"/>
          <w:szCs w:val="24"/>
          <w:lang w:eastAsia="en-AU"/>
          <w14:ligatures w14:val="none"/>
        </w:rPr>
        <w:t xml:space="preserve"> grew from crowdfunded origins to 70 million users and $97.5 million revenue in 2024 with 50% year-over-year growth. </w:t>
      </w:r>
      <w:proofErr w:type="spellStart"/>
      <w:r w:rsidRPr="00CC07DD">
        <w:rPr>
          <w:rFonts w:ascii="Times New Roman" w:eastAsia="Times New Roman" w:hAnsi="Times New Roman" w:cs="Times New Roman"/>
          <w:b/>
          <w:bCs/>
          <w:kern w:val="0"/>
          <w:sz w:val="24"/>
          <w:szCs w:val="24"/>
          <w:lang w:eastAsia="en-AU"/>
          <w14:ligatures w14:val="none"/>
        </w:rPr>
        <w:t>Nextcloud</w:t>
      </w:r>
      <w:proofErr w:type="spellEnd"/>
      <w:r w:rsidRPr="00CC07DD">
        <w:rPr>
          <w:rFonts w:ascii="Times New Roman" w:eastAsia="Times New Roman" w:hAnsi="Times New Roman" w:cs="Times New Roman"/>
          <w:kern w:val="0"/>
          <w:sz w:val="24"/>
          <w:szCs w:val="24"/>
          <w:lang w:eastAsia="en-AU"/>
          <w14:ligatures w14:val="none"/>
        </w:rPr>
        <w:t xml:space="preserve"> achieved 75% revenue growth and 133% net income growth, capturing government contracts across Europe. </w:t>
      </w:r>
      <w:r w:rsidRPr="00CC07DD">
        <w:rPr>
          <w:rFonts w:ascii="Times New Roman" w:eastAsia="Times New Roman" w:hAnsi="Times New Roman" w:cs="Times New Roman"/>
          <w:b/>
          <w:bCs/>
          <w:kern w:val="0"/>
          <w:sz w:val="24"/>
          <w:szCs w:val="24"/>
          <w:lang w:eastAsia="en-AU"/>
          <w14:ligatures w14:val="none"/>
        </w:rPr>
        <w:t>Lakera</w:t>
      </w:r>
      <w:r w:rsidRPr="00CC07DD">
        <w:rPr>
          <w:rFonts w:ascii="Times New Roman" w:eastAsia="Times New Roman" w:hAnsi="Times New Roman" w:cs="Times New Roman"/>
          <w:kern w:val="0"/>
          <w:sz w:val="24"/>
          <w:szCs w:val="24"/>
          <w:lang w:eastAsia="en-AU"/>
          <w14:ligatures w14:val="none"/>
        </w:rPr>
        <w:t xml:space="preserve"> raised $30 million with Fortune 500 customers including Dropbox, demonstrating enterprise appetite for privacy-first AI security.</w:t>
      </w:r>
    </w:p>
    <w:p w14:paraId="5686951B" w14:textId="77777777" w:rsidR="00CC07DD" w:rsidRPr="00CC07DD" w:rsidRDefault="00CC07DD" w:rsidP="00CC07DD">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C07DD">
        <w:rPr>
          <w:rFonts w:ascii="Times New Roman" w:eastAsia="Times New Roman" w:hAnsi="Times New Roman" w:cs="Times New Roman"/>
          <w:kern w:val="0"/>
          <w:sz w:val="24"/>
          <w:szCs w:val="24"/>
          <w:lang w:eastAsia="en-AU"/>
          <w14:ligatures w14:val="none"/>
        </w:rPr>
        <w:t xml:space="preserve">The competitive landscape reveals clear patterns. Winners focus on data sovereignty with EU-hosted infrastructure, </w:t>
      </w:r>
      <w:proofErr w:type="gramStart"/>
      <w:r w:rsidRPr="00CC07DD">
        <w:rPr>
          <w:rFonts w:ascii="Times New Roman" w:eastAsia="Times New Roman" w:hAnsi="Times New Roman" w:cs="Times New Roman"/>
          <w:kern w:val="0"/>
          <w:sz w:val="24"/>
          <w:szCs w:val="24"/>
          <w:lang w:eastAsia="en-AU"/>
          <w14:ligatures w14:val="none"/>
        </w:rPr>
        <w:t>on-premise</w:t>
      </w:r>
      <w:proofErr w:type="gramEnd"/>
      <w:r w:rsidRPr="00CC07DD">
        <w:rPr>
          <w:rFonts w:ascii="Times New Roman" w:eastAsia="Times New Roman" w:hAnsi="Times New Roman" w:cs="Times New Roman"/>
          <w:kern w:val="0"/>
          <w:sz w:val="24"/>
          <w:szCs w:val="24"/>
          <w:lang w:eastAsia="en-AU"/>
          <w14:ligatures w14:val="none"/>
        </w:rPr>
        <w:t xml:space="preserve"> deployment options, and Swiss hosting for enhanced </w:t>
      </w:r>
      <w:r w:rsidRPr="00CC07DD">
        <w:rPr>
          <w:rFonts w:ascii="Times New Roman" w:eastAsia="Times New Roman" w:hAnsi="Times New Roman" w:cs="Times New Roman"/>
          <w:kern w:val="0"/>
          <w:sz w:val="24"/>
          <w:szCs w:val="24"/>
          <w:lang w:eastAsia="en-AU"/>
          <w14:ligatures w14:val="none"/>
        </w:rPr>
        <w:lastRenderedPageBreak/>
        <w:t>privacy protection. They differentiate through native GDPR compliance, automated monitoring, and transparent data usage policies without hidden tracking. Technical advantages include end-to-end encryption, zero-access systems, federated learning capabilities, and on-device processing options.</w:t>
      </w:r>
    </w:p>
    <w:p w14:paraId="04130CB9" w14:textId="77777777" w:rsidR="00CC07DD" w:rsidRPr="00CC07DD" w:rsidRDefault="00CC07DD" w:rsidP="00CC07DD">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proofErr w:type="spellStart"/>
      <w:r w:rsidRPr="00CC07DD">
        <w:rPr>
          <w:rFonts w:ascii="Times New Roman" w:eastAsia="Times New Roman" w:hAnsi="Times New Roman" w:cs="Times New Roman"/>
          <w:b/>
          <w:bCs/>
          <w:kern w:val="0"/>
          <w:sz w:val="36"/>
          <w:szCs w:val="36"/>
          <w:lang w:eastAsia="en-AU"/>
          <w14:ligatures w14:val="none"/>
        </w:rPr>
        <w:t>Sunaiva's</w:t>
      </w:r>
      <w:proofErr w:type="spellEnd"/>
      <w:r w:rsidRPr="00CC07DD">
        <w:rPr>
          <w:rFonts w:ascii="Times New Roman" w:eastAsia="Times New Roman" w:hAnsi="Times New Roman" w:cs="Times New Roman"/>
          <w:b/>
          <w:bCs/>
          <w:kern w:val="0"/>
          <w:sz w:val="36"/>
          <w:szCs w:val="36"/>
          <w:lang w:eastAsia="en-AU"/>
          <w14:ligatures w14:val="none"/>
        </w:rPr>
        <w:t xml:space="preserve"> Mem0 architecture provides superior privacy and validation</w:t>
      </w:r>
    </w:p>
    <w:p w14:paraId="69DBB580" w14:textId="77777777" w:rsidR="00CC07DD" w:rsidRPr="00CC07DD" w:rsidRDefault="00CC07DD" w:rsidP="00CC07DD">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roofErr w:type="spellStart"/>
      <w:r w:rsidRPr="00CC07DD">
        <w:rPr>
          <w:rFonts w:ascii="Times New Roman" w:eastAsia="Times New Roman" w:hAnsi="Times New Roman" w:cs="Times New Roman"/>
          <w:kern w:val="0"/>
          <w:sz w:val="24"/>
          <w:szCs w:val="24"/>
          <w:lang w:eastAsia="en-AU"/>
          <w14:ligatures w14:val="none"/>
        </w:rPr>
        <w:t>Sunaiva's</w:t>
      </w:r>
      <w:proofErr w:type="spellEnd"/>
      <w:r w:rsidRPr="00CC07DD">
        <w:rPr>
          <w:rFonts w:ascii="Times New Roman" w:eastAsia="Times New Roman" w:hAnsi="Times New Roman" w:cs="Times New Roman"/>
          <w:kern w:val="0"/>
          <w:sz w:val="24"/>
          <w:szCs w:val="24"/>
          <w:lang w:eastAsia="en-AU"/>
          <w14:ligatures w14:val="none"/>
        </w:rPr>
        <w:t xml:space="preserve"> Mem0-based system offers fundamental advantages over GPT-5's anticipated centralized approach. The </w:t>
      </w:r>
      <w:r w:rsidRPr="00CC07DD">
        <w:rPr>
          <w:rFonts w:ascii="Times New Roman" w:eastAsia="Times New Roman" w:hAnsi="Times New Roman" w:cs="Times New Roman"/>
          <w:b/>
          <w:bCs/>
          <w:kern w:val="0"/>
          <w:sz w:val="24"/>
          <w:szCs w:val="24"/>
          <w:lang w:eastAsia="en-AU"/>
          <w14:ligatures w14:val="none"/>
        </w:rPr>
        <w:t>distinct separation of semantic, episodic, and procedural memory layers</w:t>
      </w:r>
      <w:r w:rsidRPr="00CC07DD">
        <w:rPr>
          <w:rFonts w:ascii="Times New Roman" w:eastAsia="Times New Roman" w:hAnsi="Times New Roman" w:cs="Times New Roman"/>
          <w:kern w:val="0"/>
          <w:sz w:val="24"/>
          <w:szCs w:val="24"/>
          <w:lang w:eastAsia="en-AU"/>
          <w14:ligatures w14:val="none"/>
        </w:rPr>
        <w:t xml:space="preserve"> enables granular data control impossible in unified systems. Users can selectively delete episodic memories of specific interactions while retaining learned procedures and semantic knowledge, directly addressing GDPR Article 17 requirements.</w:t>
      </w:r>
    </w:p>
    <w:p w14:paraId="2CCED45B" w14:textId="77777777" w:rsidR="00CC07DD" w:rsidRPr="00CC07DD" w:rsidRDefault="00CC07DD" w:rsidP="00CC07DD">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C07DD">
        <w:rPr>
          <w:rFonts w:ascii="Times New Roman" w:eastAsia="Times New Roman" w:hAnsi="Times New Roman" w:cs="Times New Roman"/>
          <w:kern w:val="0"/>
          <w:sz w:val="24"/>
          <w:szCs w:val="24"/>
          <w:lang w:eastAsia="en-AU"/>
          <w14:ligatures w14:val="none"/>
        </w:rPr>
        <w:t xml:space="preserve">Cryptographic validation through zero-knowledge proofs allows </w:t>
      </w:r>
      <w:proofErr w:type="spellStart"/>
      <w:r w:rsidRPr="00CC07DD">
        <w:rPr>
          <w:rFonts w:ascii="Times New Roman" w:eastAsia="Times New Roman" w:hAnsi="Times New Roman" w:cs="Times New Roman"/>
          <w:kern w:val="0"/>
          <w:sz w:val="24"/>
          <w:szCs w:val="24"/>
          <w:lang w:eastAsia="en-AU"/>
          <w14:ligatures w14:val="none"/>
        </w:rPr>
        <w:t>Sunaiva</w:t>
      </w:r>
      <w:proofErr w:type="spellEnd"/>
      <w:r w:rsidRPr="00CC07DD">
        <w:rPr>
          <w:rFonts w:ascii="Times New Roman" w:eastAsia="Times New Roman" w:hAnsi="Times New Roman" w:cs="Times New Roman"/>
          <w:kern w:val="0"/>
          <w:sz w:val="24"/>
          <w:szCs w:val="24"/>
          <w:lang w:eastAsia="en-AU"/>
          <w14:ligatures w14:val="none"/>
        </w:rPr>
        <w:t xml:space="preserve"> to prove accuracy without exposing proprietary algorithms or user data. With proof sizes under 5KB, real-time verification becomes feasible even for resource-constrained deployments. This addresses the critical market need for verifiable AI outputs while maintaining complete privacy.</w:t>
      </w:r>
    </w:p>
    <w:p w14:paraId="15B56D45" w14:textId="77777777" w:rsidR="00CC07DD" w:rsidRPr="00CC07DD" w:rsidRDefault="00CC07DD" w:rsidP="00CC07DD">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C07DD">
        <w:rPr>
          <w:rFonts w:ascii="Times New Roman" w:eastAsia="Times New Roman" w:hAnsi="Times New Roman" w:cs="Times New Roman"/>
          <w:kern w:val="0"/>
          <w:sz w:val="24"/>
          <w:szCs w:val="24"/>
          <w:lang w:eastAsia="en-AU"/>
          <w14:ligatures w14:val="none"/>
        </w:rPr>
        <w:t xml:space="preserve">Local deployment options eliminate cross-border data transfer concerns entirely. By processing data within national boundaries or </w:t>
      </w:r>
      <w:proofErr w:type="gramStart"/>
      <w:r w:rsidRPr="00CC07DD">
        <w:rPr>
          <w:rFonts w:ascii="Times New Roman" w:eastAsia="Times New Roman" w:hAnsi="Times New Roman" w:cs="Times New Roman"/>
          <w:kern w:val="0"/>
          <w:sz w:val="24"/>
          <w:szCs w:val="24"/>
          <w:lang w:eastAsia="en-AU"/>
          <w14:ligatures w14:val="none"/>
        </w:rPr>
        <w:t>on-premise</w:t>
      </w:r>
      <w:proofErr w:type="gramEnd"/>
      <w:r w:rsidRPr="00CC07DD">
        <w:rPr>
          <w:rFonts w:ascii="Times New Roman" w:eastAsia="Times New Roman" w:hAnsi="Times New Roman" w:cs="Times New Roman"/>
          <w:kern w:val="0"/>
          <w:sz w:val="24"/>
          <w:szCs w:val="24"/>
          <w:lang w:eastAsia="en-AU"/>
          <w14:ligatures w14:val="none"/>
        </w:rPr>
        <w:t xml:space="preserve">, </w:t>
      </w:r>
      <w:proofErr w:type="spellStart"/>
      <w:r w:rsidRPr="00CC07DD">
        <w:rPr>
          <w:rFonts w:ascii="Times New Roman" w:eastAsia="Times New Roman" w:hAnsi="Times New Roman" w:cs="Times New Roman"/>
          <w:kern w:val="0"/>
          <w:sz w:val="24"/>
          <w:szCs w:val="24"/>
          <w:lang w:eastAsia="en-AU"/>
          <w14:ligatures w14:val="none"/>
        </w:rPr>
        <w:t>Sunaiva</w:t>
      </w:r>
      <w:proofErr w:type="spellEnd"/>
      <w:r w:rsidRPr="00CC07DD">
        <w:rPr>
          <w:rFonts w:ascii="Times New Roman" w:eastAsia="Times New Roman" w:hAnsi="Times New Roman" w:cs="Times New Roman"/>
          <w:kern w:val="0"/>
          <w:sz w:val="24"/>
          <w:szCs w:val="24"/>
          <w:lang w:eastAsia="en-AU"/>
          <w14:ligatures w14:val="none"/>
        </w:rPr>
        <w:t xml:space="preserve"> bypasses the complex web of international data protection agreements that constrain centralized providers. This architectural advantage translates directly to simplified compliance and reduced operational overhead.</w:t>
      </w:r>
    </w:p>
    <w:p w14:paraId="6C2DAB1C" w14:textId="77777777" w:rsidR="00CC07DD" w:rsidRPr="00CC07DD" w:rsidRDefault="00CC07DD" w:rsidP="00CC07DD">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C07DD">
        <w:rPr>
          <w:rFonts w:ascii="Times New Roman" w:eastAsia="Times New Roman" w:hAnsi="Times New Roman" w:cs="Times New Roman"/>
          <w:b/>
          <w:bCs/>
          <w:kern w:val="0"/>
          <w:sz w:val="36"/>
          <w:szCs w:val="36"/>
          <w:lang w:eastAsia="en-AU"/>
          <w14:ligatures w14:val="none"/>
        </w:rPr>
        <w:t xml:space="preserve">Funding landscape </w:t>
      </w:r>
      <w:proofErr w:type="spellStart"/>
      <w:r w:rsidRPr="00CC07DD">
        <w:rPr>
          <w:rFonts w:ascii="Times New Roman" w:eastAsia="Times New Roman" w:hAnsi="Times New Roman" w:cs="Times New Roman"/>
          <w:b/>
          <w:bCs/>
          <w:kern w:val="0"/>
          <w:sz w:val="36"/>
          <w:szCs w:val="36"/>
          <w:lang w:eastAsia="en-AU"/>
          <w14:ligatures w14:val="none"/>
        </w:rPr>
        <w:t>favors</w:t>
      </w:r>
      <w:proofErr w:type="spellEnd"/>
      <w:r w:rsidRPr="00CC07DD">
        <w:rPr>
          <w:rFonts w:ascii="Times New Roman" w:eastAsia="Times New Roman" w:hAnsi="Times New Roman" w:cs="Times New Roman"/>
          <w:b/>
          <w:bCs/>
          <w:kern w:val="0"/>
          <w:sz w:val="36"/>
          <w:szCs w:val="36"/>
          <w:lang w:eastAsia="en-AU"/>
          <w14:ligatures w14:val="none"/>
        </w:rPr>
        <w:t xml:space="preserve"> privacy-focused AI validation startups</w:t>
      </w:r>
    </w:p>
    <w:p w14:paraId="2F0A301B" w14:textId="77777777" w:rsidR="00CC07DD" w:rsidRPr="00CC07DD" w:rsidRDefault="00CC07DD" w:rsidP="00CC07DD">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C07DD">
        <w:rPr>
          <w:rFonts w:ascii="Times New Roman" w:eastAsia="Times New Roman" w:hAnsi="Times New Roman" w:cs="Times New Roman"/>
          <w:kern w:val="0"/>
          <w:sz w:val="24"/>
          <w:szCs w:val="24"/>
          <w:lang w:eastAsia="en-AU"/>
          <w14:ligatures w14:val="none"/>
        </w:rPr>
        <w:t xml:space="preserve">The funding environment strongly supports </w:t>
      </w:r>
      <w:proofErr w:type="spellStart"/>
      <w:r w:rsidRPr="00CC07DD">
        <w:rPr>
          <w:rFonts w:ascii="Times New Roman" w:eastAsia="Times New Roman" w:hAnsi="Times New Roman" w:cs="Times New Roman"/>
          <w:kern w:val="0"/>
          <w:sz w:val="24"/>
          <w:szCs w:val="24"/>
          <w:lang w:eastAsia="en-AU"/>
          <w14:ligatures w14:val="none"/>
        </w:rPr>
        <w:t>Sunaiva's</w:t>
      </w:r>
      <w:proofErr w:type="spellEnd"/>
      <w:r w:rsidRPr="00CC07DD">
        <w:rPr>
          <w:rFonts w:ascii="Times New Roman" w:eastAsia="Times New Roman" w:hAnsi="Times New Roman" w:cs="Times New Roman"/>
          <w:kern w:val="0"/>
          <w:sz w:val="24"/>
          <w:szCs w:val="24"/>
          <w:lang w:eastAsia="en-AU"/>
          <w14:ligatures w14:val="none"/>
        </w:rPr>
        <w:t xml:space="preserve"> positioning. </w:t>
      </w:r>
      <w:proofErr w:type="spellStart"/>
      <w:r w:rsidRPr="00CC07DD">
        <w:rPr>
          <w:rFonts w:ascii="Times New Roman" w:eastAsia="Times New Roman" w:hAnsi="Times New Roman" w:cs="Times New Roman"/>
          <w:kern w:val="0"/>
          <w:sz w:val="24"/>
          <w:szCs w:val="24"/>
          <w:lang w:eastAsia="en-AU"/>
          <w14:ligatures w14:val="none"/>
        </w:rPr>
        <w:t>RunPod</w:t>
      </w:r>
      <w:proofErr w:type="spellEnd"/>
      <w:r w:rsidRPr="00CC07DD">
        <w:rPr>
          <w:rFonts w:ascii="Times New Roman" w:eastAsia="Times New Roman" w:hAnsi="Times New Roman" w:cs="Times New Roman"/>
          <w:kern w:val="0"/>
          <w:sz w:val="24"/>
          <w:szCs w:val="24"/>
          <w:lang w:eastAsia="en-AU"/>
          <w14:ligatures w14:val="none"/>
        </w:rPr>
        <w:t xml:space="preserve"> offers enterprise credits for GPU-heavy applications, while major cloud providers provide substantial support: AWS up to $100,000, Google up to $350,000 for AI-first startups, and Microsoft up to $150,000 annually. These credits enable rapid scaling without initial infrastructure investment.</w:t>
      </w:r>
    </w:p>
    <w:p w14:paraId="34E45B0B" w14:textId="77777777" w:rsidR="00CC07DD" w:rsidRPr="00CC07DD" w:rsidRDefault="00CC07DD" w:rsidP="00CC07DD">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C07DD">
        <w:rPr>
          <w:rFonts w:ascii="Times New Roman" w:eastAsia="Times New Roman" w:hAnsi="Times New Roman" w:cs="Times New Roman"/>
          <w:kern w:val="0"/>
          <w:sz w:val="24"/>
          <w:szCs w:val="24"/>
          <w:lang w:eastAsia="en-AU"/>
          <w14:ligatures w14:val="none"/>
        </w:rPr>
        <w:t>European-specific opportunities multiply the advantage. Horizon Europe invests €1+ billion annually in AI, with the GenAI4EU initiative allocating €700 million for trustworthy AI development. The European Innovation Council offers up to €2.5 million in grants plus €15 million in equity for disruptive AI innovations. The UK's AI Security Institute Challenge Fund provides up to £200,000 per project specifically for AI safety research.</w:t>
      </w:r>
    </w:p>
    <w:p w14:paraId="378589AA" w14:textId="77777777" w:rsidR="00CC07DD" w:rsidRPr="00CC07DD" w:rsidRDefault="00CC07DD" w:rsidP="00CC07DD">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C07DD">
        <w:rPr>
          <w:rFonts w:ascii="Times New Roman" w:eastAsia="Times New Roman" w:hAnsi="Times New Roman" w:cs="Times New Roman"/>
          <w:kern w:val="0"/>
          <w:sz w:val="24"/>
          <w:szCs w:val="24"/>
          <w:lang w:eastAsia="en-AU"/>
          <w14:ligatures w14:val="none"/>
        </w:rPr>
        <w:t>Recent funding validates market appetite. AI companies captured 46.4% of total VC funding in 2024, with $100+ billion invested (80% year-over-year growth). Privacy and safety-focused companies like Anthropic ($7+ billion raised) and Safe Superintelligence ($1 billion at $5 billion valuation) demonstrate investor interest in responsible AI development.</w:t>
      </w:r>
    </w:p>
    <w:p w14:paraId="18FF2257" w14:textId="77777777" w:rsidR="00CC07DD" w:rsidRPr="00CC07DD" w:rsidRDefault="00CC07DD" w:rsidP="00CC07DD">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C07DD">
        <w:rPr>
          <w:rFonts w:ascii="Times New Roman" w:eastAsia="Times New Roman" w:hAnsi="Times New Roman" w:cs="Times New Roman"/>
          <w:b/>
          <w:bCs/>
          <w:kern w:val="0"/>
          <w:sz w:val="36"/>
          <w:szCs w:val="36"/>
          <w:lang w:eastAsia="en-AU"/>
          <w14:ligatures w14:val="none"/>
        </w:rPr>
        <w:t>IP protection strategies balance demonstration with security</w:t>
      </w:r>
    </w:p>
    <w:p w14:paraId="0ED52672" w14:textId="77777777" w:rsidR="00CC07DD" w:rsidRPr="00CC07DD" w:rsidRDefault="00CC07DD" w:rsidP="00CC07DD">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C07DD">
        <w:rPr>
          <w:rFonts w:ascii="Times New Roman" w:eastAsia="Times New Roman" w:hAnsi="Times New Roman" w:cs="Times New Roman"/>
          <w:kern w:val="0"/>
          <w:sz w:val="24"/>
          <w:szCs w:val="24"/>
          <w:lang w:eastAsia="en-AU"/>
          <w14:ligatures w14:val="none"/>
        </w:rPr>
        <w:lastRenderedPageBreak/>
        <w:t xml:space="preserve">Successful AI startups employ multi-layered IP strategies. </w:t>
      </w:r>
      <w:r w:rsidRPr="00CC07DD">
        <w:rPr>
          <w:rFonts w:ascii="Times New Roman" w:eastAsia="Times New Roman" w:hAnsi="Times New Roman" w:cs="Times New Roman"/>
          <w:b/>
          <w:bCs/>
          <w:kern w:val="0"/>
          <w:sz w:val="24"/>
          <w:szCs w:val="24"/>
          <w:lang w:eastAsia="en-AU"/>
          <w14:ligatures w14:val="none"/>
        </w:rPr>
        <w:t>Patents protect novel methodologies</w:t>
      </w:r>
      <w:r w:rsidRPr="00CC07DD">
        <w:rPr>
          <w:rFonts w:ascii="Times New Roman" w:eastAsia="Times New Roman" w:hAnsi="Times New Roman" w:cs="Times New Roman"/>
          <w:kern w:val="0"/>
          <w:sz w:val="24"/>
          <w:szCs w:val="24"/>
          <w:lang w:eastAsia="en-AU"/>
          <w14:ligatures w14:val="none"/>
        </w:rPr>
        <w:t xml:space="preserve"> meeting technical character requirements, while trade secrets guard algorithmic implementations, training datasets, and model architectures. Copyright covers source code and documentation, with trademarks protecting brand identity.</w:t>
      </w:r>
    </w:p>
    <w:p w14:paraId="223097CB" w14:textId="77777777" w:rsidR="00CC07DD" w:rsidRPr="00CC07DD" w:rsidRDefault="00CC07DD" w:rsidP="00CC07DD">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C07DD">
        <w:rPr>
          <w:rFonts w:ascii="Times New Roman" w:eastAsia="Times New Roman" w:hAnsi="Times New Roman" w:cs="Times New Roman"/>
          <w:kern w:val="0"/>
          <w:sz w:val="24"/>
          <w:szCs w:val="24"/>
          <w:lang w:eastAsia="en-AU"/>
          <w14:ligatures w14:val="none"/>
        </w:rPr>
        <w:t>During fundraising, staged disclosure proves critical. Black box demonstrations show input/output capabilities without process exposure, while performance metrics validate superiority without revealing methods. Non-disclosure agreements provide legal protection, but technical summaries and pilot program results often suffice for initial investor interest. Third-party IP audits and patent portfolio presentations demonstrate protection without detailed disclosure.</w:t>
      </w:r>
    </w:p>
    <w:p w14:paraId="3D3BF8F3" w14:textId="77777777" w:rsidR="00CC07DD" w:rsidRPr="00CC07DD" w:rsidRDefault="00CC07DD" w:rsidP="00CC07DD">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C07DD">
        <w:rPr>
          <w:rFonts w:ascii="Times New Roman" w:eastAsia="Times New Roman" w:hAnsi="Times New Roman" w:cs="Times New Roman"/>
          <w:kern w:val="0"/>
          <w:sz w:val="24"/>
          <w:szCs w:val="24"/>
          <w:lang w:eastAsia="en-AU"/>
          <w14:ligatures w14:val="none"/>
        </w:rPr>
        <w:t>European frameworks provide strong protection. The EU Trade Secrets Directive offers comprehensive coverage for algorithms meeting economic value and reasonable protection requirements. While software patents face limitations, the combination of trade secrets, copyright, and contractual protections creates robust defensive positions.</w:t>
      </w:r>
    </w:p>
    <w:p w14:paraId="40CA5094" w14:textId="77777777" w:rsidR="00CC07DD" w:rsidRPr="00CC07DD" w:rsidRDefault="00CC07DD" w:rsidP="00CC07DD">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C07DD">
        <w:rPr>
          <w:rFonts w:ascii="Times New Roman" w:eastAsia="Times New Roman" w:hAnsi="Times New Roman" w:cs="Times New Roman"/>
          <w:b/>
          <w:bCs/>
          <w:kern w:val="0"/>
          <w:sz w:val="36"/>
          <w:szCs w:val="36"/>
          <w:lang w:eastAsia="en-AU"/>
          <w14:ligatures w14:val="none"/>
        </w:rPr>
        <w:t>Market sizing validates $20-49 monthly pricing for AI validation</w:t>
      </w:r>
    </w:p>
    <w:p w14:paraId="2C82107D" w14:textId="77777777" w:rsidR="00CC07DD" w:rsidRPr="00CC07DD" w:rsidRDefault="00CC07DD" w:rsidP="00CC07DD">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C07DD">
        <w:rPr>
          <w:rFonts w:ascii="Times New Roman" w:eastAsia="Times New Roman" w:hAnsi="Times New Roman" w:cs="Times New Roman"/>
          <w:kern w:val="0"/>
          <w:sz w:val="24"/>
          <w:szCs w:val="24"/>
          <w:lang w:eastAsia="en-AU"/>
          <w14:ligatures w14:val="none"/>
        </w:rPr>
        <w:t xml:space="preserve">The consumer AI market's trajectory from $92.24 billion in 2024 to $674.49 billion by 2030 (28.3% CAGR) understates the specific opportunity in validation services. With 1.8 billion AI users globally but only 3-5% paying for premium services, a </w:t>
      </w:r>
      <w:r w:rsidRPr="00CC07DD">
        <w:rPr>
          <w:rFonts w:ascii="Times New Roman" w:eastAsia="Times New Roman" w:hAnsi="Times New Roman" w:cs="Times New Roman"/>
          <w:b/>
          <w:bCs/>
          <w:kern w:val="0"/>
          <w:sz w:val="24"/>
          <w:szCs w:val="24"/>
          <w:lang w:eastAsia="en-AU"/>
          <w14:ligatures w14:val="none"/>
        </w:rPr>
        <w:t>$420 billion annual monetization gap</w:t>
      </w:r>
      <w:r w:rsidRPr="00CC07DD">
        <w:rPr>
          <w:rFonts w:ascii="Times New Roman" w:eastAsia="Times New Roman" w:hAnsi="Times New Roman" w:cs="Times New Roman"/>
          <w:kern w:val="0"/>
          <w:sz w:val="24"/>
          <w:szCs w:val="24"/>
          <w:lang w:eastAsia="en-AU"/>
          <w14:ligatures w14:val="none"/>
        </w:rPr>
        <w:t xml:space="preserve"> exists at $20/month average pricing.</w:t>
      </w:r>
    </w:p>
    <w:p w14:paraId="14BF5345" w14:textId="77777777" w:rsidR="00CC07DD" w:rsidRPr="00CC07DD" w:rsidRDefault="00CC07DD" w:rsidP="00CC07DD">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C07DD">
        <w:rPr>
          <w:rFonts w:ascii="Times New Roman" w:eastAsia="Times New Roman" w:hAnsi="Times New Roman" w:cs="Times New Roman"/>
          <w:kern w:val="0"/>
          <w:sz w:val="24"/>
          <w:szCs w:val="24"/>
          <w:lang w:eastAsia="en-AU"/>
          <w14:ligatures w14:val="none"/>
        </w:rPr>
        <w:t>Consumer willingness to pay follows clear patterns. Professional and utilitarian applications show highest conversion rates, with creative AI tools achieving 25-32% premium adoption. Trust-critical applications in healthcare, finance, and legal sectors demonstrate strong payment readiness. ChatGPT's 5% conversion rate to paid subscriptions establishes a baseline, while specialized tools command higher rates.</w:t>
      </w:r>
    </w:p>
    <w:p w14:paraId="0AEA38F7" w14:textId="77777777" w:rsidR="00CC07DD" w:rsidRPr="00CC07DD" w:rsidRDefault="00CC07DD" w:rsidP="00CC07DD">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C07DD">
        <w:rPr>
          <w:rFonts w:ascii="Times New Roman" w:eastAsia="Times New Roman" w:hAnsi="Times New Roman" w:cs="Times New Roman"/>
          <w:kern w:val="0"/>
          <w:sz w:val="24"/>
          <w:szCs w:val="24"/>
          <w:lang w:eastAsia="en-AU"/>
          <w14:ligatures w14:val="none"/>
        </w:rPr>
        <w:t xml:space="preserve">European markets show </w:t>
      </w:r>
      <w:proofErr w:type="gramStart"/>
      <w:r w:rsidRPr="00CC07DD">
        <w:rPr>
          <w:rFonts w:ascii="Times New Roman" w:eastAsia="Times New Roman" w:hAnsi="Times New Roman" w:cs="Times New Roman"/>
          <w:kern w:val="0"/>
          <w:sz w:val="24"/>
          <w:szCs w:val="24"/>
          <w:lang w:eastAsia="en-AU"/>
          <w14:ligatures w14:val="none"/>
        </w:rPr>
        <w:t>particular promise</w:t>
      </w:r>
      <w:proofErr w:type="gramEnd"/>
      <w:r w:rsidRPr="00CC07DD">
        <w:rPr>
          <w:rFonts w:ascii="Times New Roman" w:eastAsia="Times New Roman" w:hAnsi="Times New Roman" w:cs="Times New Roman"/>
          <w:kern w:val="0"/>
          <w:sz w:val="24"/>
          <w:szCs w:val="24"/>
          <w:lang w:eastAsia="en-AU"/>
          <w14:ligatures w14:val="none"/>
        </w:rPr>
        <w:t>. The privacy management software market grows from €3.84 billion in 2024 to €45.13 billion by 2032, while privacy enhancing technologies expand from $3.17 billion to $28.4 billion by 2034 (24.5% CAGR). With 87% of Europeans concerned about AI privacy and 62% willing to adopt with proper safeguards, privacy-first positioning directly addresses market demands.</w:t>
      </w:r>
    </w:p>
    <w:p w14:paraId="5698065D" w14:textId="77777777" w:rsidR="00CC07DD" w:rsidRPr="00CC07DD" w:rsidRDefault="00CC07DD" w:rsidP="00CC07DD">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C07DD">
        <w:rPr>
          <w:rFonts w:ascii="Times New Roman" w:eastAsia="Times New Roman" w:hAnsi="Times New Roman" w:cs="Times New Roman"/>
          <w:b/>
          <w:bCs/>
          <w:kern w:val="0"/>
          <w:sz w:val="36"/>
          <w:szCs w:val="36"/>
          <w:lang w:eastAsia="en-AU"/>
          <w14:ligatures w14:val="none"/>
        </w:rPr>
        <w:t>Strategic recommendations for market entry</w:t>
      </w:r>
    </w:p>
    <w:p w14:paraId="21390530" w14:textId="77777777" w:rsidR="00CC07DD" w:rsidRPr="00CC07DD" w:rsidRDefault="00CC07DD" w:rsidP="00CC07DD">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roofErr w:type="spellStart"/>
      <w:r w:rsidRPr="00CC07DD">
        <w:rPr>
          <w:rFonts w:ascii="Times New Roman" w:eastAsia="Times New Roman" w:hAnsi="Times New Roman" w:cs="Times New Roman"/>
          <w:kern w:val="0"/>
          <w:sz w:val="24"/>
          <w:szCs w:val="24"/>
          <w:lang w:eastAsia="en-AU"/>
          <w14:ligatures w14:val="none"/>
        </w:rPr>
        <w:t>Sunaiva</w:t>
      </w:r>
      <w:proofErr w:type="spellEnd"/>
      <w:r w:rsidRPr="00CC07DD">
        <w:rPr>
          <w:rFonts w:ascii="Times New Roman" w:eastAsia="Times New Roman" w:hAnsi="Times New Roman" w:cs="Times New Roman"/>
          <w:kern w:val="0"/>
          <w:sz w:val="24"/>
          <w:szCs w:val="24"/>
          <w:lang w:eastAsia="en-AU"/>
          <w14:ligatures w14:val="none"/>
        </w:rPr>
        <w:t xml:space="preserve"> should execute a </w:t>
      </w:r>
      <w:r w:rsidRPr="00CC07DD">
        <w:rPr>
          <w:rFonts w:ascii="Times New Roman" w:eastAsia="Times New Roman" w:hAnsi="Times New Roman" w:cs="Times New Roman"/>
          <w:b/>
          <w:bCs/>
          <w:kern w:val="0"/>
          <w:sz w:val="24"/>
          <w:szCs w:val="24"/>
          <w:lang w:eastAsia="en-AU"/>
          <w14:ligatures w14:val="none"/>
        </w:rPr>
        <w:t>European-first strategy</w:t>
      </w:r>
      <w:r w:rsidRPr="00CC07DD">
        <w:rPr>
          <w:rFonts w:ascii="Times New Roman" w:eastAsia="Times New Roman" w:hAnsi="Times New Roman" w:cs="Times New Roman"/>
          <w:kern w:val="0"/>
          <w:sz w:val="24"/>
          <w:szCs w:val="24"/>
          <w:lang w:eastAsia="en-AU"/>
          <w14:ligatures w14:val="none"/>
        </w:rPr>
        <w:t xml:space="preserve"> leveraging regulatory advantages. Target Switzerland and Denmark initially, where privacy consciousness and regulatory frameworks most </w:t>
      </w:r>
      <w:proofErr w:type="spellStart"/>
      <w:r w:rsidRPr="00CC07DD">
        <w:rPr>
          <w:rFonts w:ascii="Times New Roman" w:eastAsia="Times New Roman" w:hAnsi="Times New Roman" w:cs="Times New Roman"/>
          <w:kern w:val="0"/>
          <w:sz w:val="24"/>
          <w:szCs w:val="24"/>
          <w:lang w:eastAsia="en-AU"/>
          <w14:ligatures w14:val="none"/>
        </w:rPr>
        <w:t>favor</w:t>
      </w:r>
      <w:proofErr w:type="spellEnd"/>
      <w:r w:rsidRPr="00CC07DD">
        <w:rPr>
          <w:rFonts w:ascii="Times New Roman" w:eastAsia="Times New Roman" w:hAnsi="Times New Roman" w:cs="Times New Roman"/>
          <w:kern w:val="0"/>
          <w:sz w:val="24"/>
          <w:szCs w:val="24"/>
          <w:lang w:eastAsia="en-AU"/>
          <w14:ligatures w14:val="none"/>
        </w:rPr>
        <w:t xml:space="preserve"> local solutions. Focus on high-value segments including financial services, healthcare, and legal sectors where accuracy validation commands premium pricing and compliance requirements create natural barriers to US competitors.</w:t>
      </w:r>
    </w:p>
    <w:p w14:paraId="2388CF64" w14:textId="77777777" w:rsidR="00CC07DD" w:rsidRPr="00CC07DD" w:rsidRDefault="00CC07DD" w:rsidP="00CC07DD">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C07DD">
        <w:rPr>
          <w:rFonts w:ascii="Times New Roman" w:eastAsia="Times New Roman" w:hAnsi="Times New Roman" w:cs="Times New Roman"/>
          <w:kern w:val="0"/>
          <w:sz w:val="24"/>
          <w:szCs w:val="24"/>
          <w:lang w:eastAsia="en-AU"/>
          <w14:ligatures w14:val="none"/>
        </w:rPr>
        <w:t xml:space="preserve">Implement a freemium model capturing market share with basic validation while monetizing advanced cryptographic verification and compliance features at the $20-49/month tier. This aligns with established SaaS pricing while remaining accessible to privacy-conscious </w:t>
      </w:r>
      <w:r w:rsidRPr="00CC07DD">
        <w:rPr>
          <w:rFonts w:ascii="Times New Roman" w:eastAsia="Times New Roman" w:hAnsi="Times New Roman" w:cs="Times New Roman"/>
          <w:kern w:val="0"/>
          <w:sz w:val="24"/>
          <w:szCs w:val="24"/>
          <w:lang w:eastAsia="en-AU"/>
          <w14:ligatures w14:val="none"/>
        </w:rPr>
        <w:lastRenderedPageBreak/>
        <w:t xml:space="preserve">consumers. Enterprise tiers should emphasize </w:t>
      </w:r>
      <w:proofErr w:type="gramStart"/>
      <w:r w:rsidRPr="00CC07DD">
        <w:rPr>
          <w:rFonts w:ascii="Times New Roman" w:eastAsia="Times New Roman" w:hAnsi="Times New Roman" w:cs="Times New Roman"/>
          <w:kern w:val="0"/>
          <w:sz w:val="24"/>
          <w:szCs w:val="24"/>
          <w:lang w:eastAsia="en-AU"/>
          <w14:ligatures w14:val="none"/>
        </w:rPr>
        <w:t>on-premise</w:t>
      </w:r>
      <w:proofErr w:type="gramEnd"/>
      <w:r w:rsidRPr="00CC07DD">
        <w:rPr>
          <w:rFonts w:ascii="Times New Roman" w:eastAsia="Times New Roman" w:hAnsi="Times New Roman" w:cs="Times New Roman"/>
          <w:kern w:val="0"/>
          <w:sz w:val="24"/>
          <w:szCs w:val="24"/>
          <w:lang w:eastAsia="en-AU"/>
          <w14:ligatures w14:val="none"/>
        </w:rPr>
        <w:t xml:space="preserve"> deployment, dedicated support, and compliance consulting services.</w:t>
      </w:r>
    </w:p>
    <w:p w14:paraId="5288F7B5" w14:textId="77777777" w:rsidR="00CC07DD" w:rsidRPr="00CC07DD" w:rsidRDefault="00CC07DD" w:rsidP="00CC07DD">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C07DD">
        <w:rPr>
          <w:rFonts w:ascii="Times New Roman" w:eastAsia="Times New Roman" w:hAnsi="Times New Roman" w:cs="Times New Roman"/>
          <w:kern w:val="0"/>
          <w:sz w:val="24"/>
          <w:szCs w:val="24"/>
          <w:lang w:eastAsia="en-AU"/>
          <w14:ligatures w14:val="none"/>
        </w:rPr>
        <w:t xml:space="preserve">Partnership strategies should prioritize integration with existing European AI platforms and service providers. </w:t>
      </w:r>
      <w:proofErr w:type="spellStart"/>
      <w:r w:rsidRPr="00CC07DD">
        <w:rPr>
          <w:rFonts w:ascii="Times New Roman" w:eastAsia="Times New Roman" w:hAnsi="Times New Roman" w:cs="Times New Roman"/>
          <w:kern w:val="0"/>
          <w:sz w:val="24"/>
          <w:szCs w:val="24"/>
          <w:lang w:eastAsia="en-AU"/>
          <w14:ligatures w14:val="none"/>
        </w:rPr>
        <w:t>Nextcloud's</w:t>
      </w:r>
      <w:proofErr w:type="spellEnd"/>
      <w:r w:rsidRPr="00CC07DD">
        <w:rPr>
          <w:rFonts w:ascii="Times New Roman" w:eastAsia="Times New Roman" w:hAnsi="Times New Roman" w:cs="Times New Roman"/>
          <w:kern w:val="0"/>
          <w:sz w:val="24"/>
          <w:szCs w:val="24"/>
          <w:lang w:eastAsia="en-AU"/>
          <w14:ligatures w14:val="none"/>
        </w:rPr>
        <w:t xml:space="preserve"> ecosystem offers immediate access to government and enterprise customers, while partnerships with privacy-focused providers like ProtonMail could accelerate consumer adoption. Consider white-label solutions enabling rapid market penetration through established channels.</w:t>
      </w:r>
    </w:p>
    <w:p w14:paraId="6B93C66C" w14:textId="77777777" w:rsidR="00CC07DD" w:rsidRPr="00CC07DD" w:rsidRDefault="00CC07DD" w:rsidP="00CC07DD">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C07DD">
        <w:rPr>
          <w:rFonts w:ascii="Times New Roman" w:eastAsia="Times New Roman" w:hAnsi="Times New Roman" w:cs="Times New Roman"/>
          <w:b/>
          <w:bCs/>
          <w:kern w:val="0"/>
          <w:sz w:val="24"/>
          <w:szCs w:val="24"/>
          <w:lang w:eastAsia="en-AU"/>
          <w14:ligatures w14:val="none"/>
        </w:rPr>
        <w:t>Technical development priorities</w:t>
      </w:r>
      <w:r w:rsidRPr="00CC07DD">
        <w:rPr>
          <w:rFonts w:ascii="Times New Roman" w:eastAsia="Times New Roman" w:hAnsi="Times New Roman" w:cs="Times New Roman"/>
          <w:kern w:val="0"/>
          <w:sz w:val="24"/>
          <w:szCs w:val="24"/>
          <w:lang w:eastAsia="en-AU"/>
          <w14:ligatures w14:val="none"/>
        </w:rPr>
        <w:t xml:space="preserve"> must emphasize GDPR-native architecture from inception. Implement granular consent management, automated data minimization, and transparent audit trails. Cryptographic validation should be positioned as a core differentiator, with clear demonstrations of accuracy improvements and bias reduction. Building for the EU AI Act's requirements today positions </w:t>
      </w:r>
      <w:proofErr w:type="spellStart"/>
      <w:r w:rsidRPr="00CC07DD">
        <w:rPr>
          <w:rFonts w:ascii="Times New Roman" w:eastAsia="Times New Roman" w:hAnsi="Times New Roman" w:cs="Times New Roman"/>
          <w:kern w:val="0"/>
          <w:sz w:val="24"/>
          <w:szCs w:val="24"/>
          <w:lang w:eastAsia="en-AU"/>
          <w14:ligatures w14:val="none"/>
        </w:rPr>
        <w:t>Sunaiva</w:t>
      </w:r>
      <w:proofErr w:type="spellEnd"/>
      <w:r w:rsidRPr="00CC07DD">
        <w:rPr>
          <w:rFonts w:ascii="Times New Roman" w:eastAsia="Times New Roman" w:hAnsi="Times New Roman" w:cs="Times New Roman"/>
          <w:kern w:val="0"/>
          <w:sz w:val="24"/>
          <w:szCs w:val="24"/>
          <w:lang w:eastAsia="en-AU"/>
          <w14:ligatures w14:val="none"/>
        </w:rPr>
        <w:t xml:space="preserve"> ahead of reactive competitors.</w:t>
      </w:r>
    </w:p>
    <w:p w14:paraId="1F301E1D" w14:textId="77777777" w:rsidR="00CC07DD" w:rsidRPr="00CC07DD" w:rsidRDefault="00CC07DD" w:rsidP="00CC07DD">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C07DD">
        <w:rPr>
          <w:rFonts w:ascii="Times New Roman" w:eastAsia="Times New Roman" w:hAnsi="Times New Roman" w:cs="Times New Roman"/>
          <w:kern w:val="0"/>
          <w:sz w:val="24"/>
          <w:szCs w:val="24"/>
          <w:lang w:eastAsia="en-AU"/>
          <w14:ligatures w14:val="none"/>
        </w:rPr>
        <w:t xml:space="preserve">The convergence of technical capabilities, regulatory tailwinds, and market demand creates an exceptional opportunity for privacy-first AI memory platforms. By positioning against GPT-5's inherent centralization limitations while delivering superior validation capabilities, </w:t>
      </w:r>
      <w:proofErr w:type="spellStart"/>
      <w:r w:rsidRPr="00CC07DD">
        <w:rPr>
          <w:rFonts w:ascii="Times New Roman" w:eastAsia="Times New Roman" w:hAnsi="Times New Roman" w:cs="Times New Roman"/>
          <w:kern w:val="0"/>
          <w:sz w:val="24"/>
          <w:szCs w:val="24"/>
          <w:lang w:eastAsia="en-AU"/>
          <w14:ligatures w14:val="none"/>
        </w:rPr>
        <w:t>Sunaiva</w:t>
      </w:r>
      <w:proofErr w:type="spellEnd"/>
      <w:r w:rsidRPr="00CC07DD">
        <w:rPr>
          <w:rFonts w:ascii="Times New Roman" w:eastAsia="Times New Roman" w:hAnsi="Times New Roman" w:cs="Times New Roman"/>
          <w:kern w:val="0"/>
          <w:sz w:val="24"/>
          <w:szCs w:val="24"/>
          <w:lang w:eastAsia="en-AU"/>
          <w14:ligatures w14:val="none"/>
        </w:rPr>
        <w:t xml:space="preserve"> can capture significant market share in Europe's rapidly growing privacy-conscious AI ecosystem. The key lies in executing quickly while major providers struggle with compliance, establishing market presence before centralized alternatives can adapt their architectures to European requirements.</w:t>
      </w:r>
    </w:p>
    <w:p w14:paraId="4DF49CCC" w14:textId="77777777" w:rsidR="00000000" w:rsidRDefault="00000000"/>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CC07DD"/>
    <w:rsid w:val="000B3321"/>
    <w:rsid w:val="00431DDD"/>
    <w:rsid w:val="008006DD"/>
    <w:rsid w:val="00C83081"/>
    <w:rsid w:val="00CC07DD"/>
    <w:rsid w:val="00EA0071"/>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2A621"/>
  <w15:chartTrackingRefBased/>
  <w15:docId w15:val="{4BC1C320-DC01-4CD0-8EB2-6F79DC6D4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CC07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07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07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07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07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07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07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07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07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7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07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07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07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07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07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07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07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07DD"/>
    <w:rPr>
      <w:rFonts w:eastAsiaTheme="majorEastAsia" w:cstheme="majorBidi"/>
      <w:color w:val="272727" w:themeColor="text1" w:themeTint="D8"/>
    </w:rPr>
  </w:style>
  <w:style w:type="paragraph" w:styleId="Title">
    <w:name w:val="Title"/>
    <w:basedOn w:val="Normal"/>
    <w:next w:val="Normal"/>
    <w:link w:val="TitleChar"/>
    <w:uiPriority w:val="10"/>
    <w:qFormat/>
    <w:rsid w:val="00CC07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07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07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07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07DD"/>
    <w:pPr>
      <w:spacing w:before="160"/>
      <w:jc w:val="center"/>
    </w:pPr>
    <w:rPr>
      <w:i/>
      <w:iCs/>
      <w:color w:val="404040" w:themeColor="text1" w:themeTint="BF"/>
    </w:rPr>
  </w:style>
  <w:style w:type="character" w:customStyle="1" w:styleId="QuoteChar">
    <w:name w:val="Quote Char"/>
    <w:basedOn w:val="DefaultParagraphFont"/>
    <w:link w:val="Quote"/>
    <w:uiPriority w:val="29"/>
    <w:rsid w:val="00CC07DD"/>
    <w:rPr>
      <w:i/>
      <w:iCs/>
      <w:color w:val="404040" w:themeColor="text1" w:themeTint="BF"/>
    </w:rPr>
  </w:style>
  <w:style w:type="paragraph" w:styleId="ListParagraph">
    <w:name w:val="List Paragraph"/>
    <w:basedOn w:val="Normal"/>
    <w:uiPriority w:val="34"/>
    <w:qFormat/>
    <w:rsid w:val="00CC07DD"/>
    <w:pPr>
      <w:ind w:left="720"/>
      <w:contextualSpacing/>
    </w:pPr>
  </w:style>
  <w:style w:type="character" w:styleId="IntenseEmphasis">
    <w:name w:val="Intense Emphasis"/>
    <w:basedOn w:val="DefaultParagraphFont"/>
    <w:uiPriority w:val="21"/>
    <w:qFormat/>
    <w:rsid w:val="00CC07DD"/>
    <w:rPr>
      <w:i/>
      <w:iCs/>
      <w:color w:val="2F5496" w:themeColor="accent1" w:themeShade="BF"/>
    </w:rPr>
  </w:style>
  <w:style w:type="paragraph" w:styleId="IntenseQuote">
    <w:name w:val="Intense Quote"/>
    <w:basedOn w:val="Normal"/>
    <w:next w:val="Normal"/>
    <w:link w:val="IntenseQuoteChar"/>
    <w:uiPriority w:val="30"/>
    <w:qFormat/>
    <w:rsid w:val="00CC07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07DD"/>
    <w:rPr>
      <w:i/>
      <w:iCs/>
      <w:color w:val="2F5496" w:themeColor="accent1" w:themeShade="BF"/>
    </w:rPr>
  </w:style>
  <w:style w:type="character" w:styleId="IntenseReference">
    <w:name w:val="Intense Reference"/>
    <w:basedOn w:val="DefaultParagraphFont"/>
    <w:uiPriority w:val="32"/>
    <w:qFormat/>
    <w:rsid w:val="00CC07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1944</Words>
  <Characters>11086</Characters>
  <Application>Microsoft Office Word</Application>
  <DocSecurity>0</DocSecurity>
  <Lines>92</Lines>
  <Paragraphs>26</Paragraphs>
  <ScaleCrop>false</ScaleCrop>
  <Company/>
  <LinksUpToDate>false</LinksUpToDate>
  <CharactersWithSpaces>13004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2025-06-30T02:21:00Z</dcterms:created>
  <dcterms:modified xsi:type="dcterms:W3CDTF">2025-06-30T02:21:00Z</dcterms:modified>
</cp:coreProperties>
</file>